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84440" cy="10727690"/>
            <wp:effectExtent l="0" t="0" r="10160" b="3810"/>
            <wp:wrapNone/>
            <wp:docPr id="53" name="ABU设计" descr="C:\Users\Administrator\Documents\_稻壳文档\P3- (19).pngP3- (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ABU设计" descr="C:\Users\Administrator\Documents\_稻壳文档\P3- (19).pngP3- (19)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4440" cy="107276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118" w:name="_GoBack"/>
      <w:bookmarkEnd w:id="118"/>
      <w:r>
        <w:rPr>
          <w:sz w:val="1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-602615</wp:posOffset>
                </wp:positionH>
                <wp:positionV relativeFrom="paragraph">
                  <wp:posOffset>1080770</wp:posOffset>
                </wp:positionV>
                <wp:extent cx="6480175" cy="972185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972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系统操作说明书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7.45pt;margin-top:85.1pt;height:76.55pt;width:510.25pt;z-index:251660288;mso-width-relative:page;mso-height-relative:page;" filled="f" stroked="f" coordsize="21600,21600" o:gfxdata="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plY0Q2QAAAAsBAAAPAAAAAAAAAAEAIAAAACIAAABk&#10;cnMvZG93bnJldi54bWxQSwECFAAUAAAACACHTuJAqSKSbj4CAAB2BAAADgAAAAAAAAABACAAAAAo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 inset="2mm,2mm,2mm,2mm">
                  <w:txbxContent>
                    <w:p>
                      <w:pPr>
                        <w:jc w:val="center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系统操作说明书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-602615</wp:posOffset>
                </wp:positionH>
                <wp:positionV relativeFrom="paragraph">
                  <wp:posOffset>-191135</wp:posOffset>
                </wp:positionV>
                <wp:extent cx="6480175" cy="1800225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1800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1D4390"/>
                                <w:sz w:val="150"/>
                                <w:szCs w:val="15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D4390"/>
                                <w:sz w:val="150"/>
                                <w:szCs w:val="150"/>
                                <w:lang w:val="en-US" w:eastAsia="zh-CN"/>
                              </w:rPr>
                              <w:t>AVASaas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7.45pt;margin-top:-15.05pt;height:141.75pt;width:510.25pt;z-index:251659264;mso-width-relative:page;mso-height-relative:page;" filled="f" stroked="f" coordsize="21600,21600" o:gfxdata="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SDtMet0AAAALAQAADwAAAAAAAAAB&#10;ACAAAAAiAAAAZHJzL2Rvd25yZXYueG1sUEsBAhQAFAAAAAgAh07iQNtV/J5EAgAAdwQAAA4AAAAA&#10;AAAAAQAgAAAALA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1D4390"/>
                          <w:sz w:val="150"/>
                          <w:szCs w:val="150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1D4390"/>
                          <w:sz w:val="150"/>
                          <w:szCs w:val="150"/>
                          <w:lang w:val="en-US" w:eastAsia="zh-CN"/>
                        </w:rPr>
                        <w:t>AVASaas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-602615</wp:posOffset>
                </wp:positionH>
                <wp:positionV relativeFrom="paragraph">
                  <wp:posOffset>8724265</wp:posOffset>
                </wp:positionV>
                <wp:extent cx="6480175" cy="720090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720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62626"/>
                                <w:sz w:val="48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62626"/>
                                <w:sz w:val="48"/>
                                <w:szCs w:val="48"/>
                                <w:lang w:val="en-US" w:eastAsia="zh-CN"/>
                              </w:rPr>
                              <w:t>美达贝壳(江苏)高新技术有限公司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7.45pt;margin-top:686.95pt;height:56.7pt;width:510.25pt;z-index:251661312;mso-width-relative:page;mso-height-relative:page;" filled="f" stroked="f" coordsize="21600,21600" o:gfxdata="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mEBntsAAAANAQAADwAAAAAAAAABACAAAAAiAAAA&#10;ZHJzL2Rvd25yZXYueG1sUEsBAhQAFAAAAAgAh07iQEqb9PI9AgAAdg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 inset="2mm,2mm,2mm,2mm">
                  <w:txbxContent>
                    <w:p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62626"/>
                          <w:sz w:val="48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62626"/>
                          <w:sz w:val="48"/>
                          <w:szCs w:val="48"/>
                          <w:lang w:val="en-US" w:eastAsia="zh-CN"/>
                        </w:rPr>
                        <w:t>美达贝壳(江苏)高新技术有限公司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1249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TOC \o "1-3" \h \u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_Toc16079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1、账号及基础管理</w:t>
          </w:r>
          <w:r>
            <w:tab/>
          </w:r>
          <w:r>
            <w:fldChar w:fldCharType="begin"/>
          </w:r>
          <w:r>
            <w:instrText xml:space="preserve"> PAGEREF _Toc16079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_Toc12790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1.1账号管理</w:t>
          </w:r>
          <w:r>
            <w:tab/>
          </w:r>
          <w:r>
            <w:fldChar w:fldCharType="begin"/>
          </w:r>
          <w:r>
            <w:instrText xml:space="preserve"> PAGEREF _Toc12790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_Toc3145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1.1.1功能介绍：</w:t>
          </w:r>
          <w:r>
            <w:tab/>
          </w:r>
          <w:r>
            <w:fldChar w:fldCharType="begin"/>
          </w:r>
          <w:r>
            <w:instrText xml:space="preserve"> PAGEREF _Toc3145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_Toc21226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1.1.2操作说明</w:t>
          </w:r>
          <w:r>
            <w:tab/>
          </w:r>
          <w:r>
            <w:fldChar w:fldCharType="begin"/>
          </w:r>
          <w:r>
            <w:instrText xml:space="preserve"> PAGEREF _Toc21226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_Toc27497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1.1.3功能说明</w:t>
          </w:r>
          <w:r>
            <w:tab/>
          </w:r>
          <w:r>
            <w:fldChar w:fldCharType="begin"/>
          </w:r>
          <w:r>
            <w:instrText xml:space="preserve"> PAGEREF _Toc27497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_Toc21812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1.2.角色管理</w:t>
          </w:r>
          <w:r>
            <w:tab/>
          </w:r>
          <w:r>
            <w:fldChar w:fldCharType="begin"/>
          </w:r>
          <w:r>
            <w:instrText xml:space="preserve"> PAGEREF _Toc21812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_Toc21682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1.2.1功能介绍：</w:t>
          </w:r>
          <w:r>
            <w:tab/>
          </w:r>
          <w:r>
            <w:fldChar w:fldCharType="begin"/>
          </w:r>
          <w:r>
            <w:instrText xml:space="preserve"> PAGEREF _Toc21682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_Toc23437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1.2.2操作说明</w:t>
          </w:r>
          <w:r>
            <w:tab/>
          </w:r>
          <w:r>
            <w:fldChar w:fldCharType="begin"/>
          </w:r>
          <w:r>
            <w:instrText xml:space="preserve"> PAGEREF _Toc23437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_Toc17194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1.2.3功能说明</w:t>
          </w:r>
          <w:r>
            <w:tab/>
          </w:r>
          <w:r>
            <w:fldChar w:fldCharType="begin"/>
          </w:r>
          <w:r>
            <w:instrText xml:space="preserve"> PAGEREF _Toc17194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_Toc13107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1.3.员工管理</w:t>
          </w:r>
          <w:r>
            <w:tab/>
          </w:r>
          <w:r>
            <w:fldChar w:fldCharType="begin"/>
          </w:r>
          <w:r>
            <w:instrText xml:space="preserve"> PAGEREF _Toc13107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_Toc23594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1.3.1功能介绍</w:t>
          </w:r>
          <w:r>
            <w:tab/>
          </w:r>
          <w:r>
            <w:fldChar w:fldCharType="begin"/>
          </w:r>
          <w:r>
            <w:instrText xml:space="preserve"> PAGEREF _Toc23594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_Toc27906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1.3.2操作说明</w:t>
          </w:r>
          <w:r>
            <w:tab/>
          </w:r>
          <w:r>
            <w:fldChar w:fldCharType="begin"/>
          </w:r>
          <w:r>
            <w:instrText xml:space="preserve"> PAGEREF _Toc27906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_Toc29297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1.3.3功能说明</w:t>
          </w:r>
          <w:r>
            <w:tab/>
          </w:r>
          <w:r>
            <w:fldChar w:fldCharType="begin"/>
          </w:r>
          <w:r>
            <w:instrText xml:space="preserve"> PAGEREF _Toc29297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_Toc26793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1.4.部门管理</w:t>
          </w:r>
          <w:r>
            <w:tab/>
          </w:r>
          <w:r>
            <w:fldChar w:fldCharType="begin"/>
          </w:r>
          <w:r>
            <w:instrText xml:space="preserve"> PAGEREF _Toc26793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_Toc10017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1.4.1功能介绍</w:t>
          </w:r>
          <w:r>
            <w:tab/>
          </w:r>
          <w:r>
            <w:fldChar w:fldCharType="begin"/>
          </w:r>
          <w:r>
            <w:instrText xml:space="preserve"> PAGEREF _Toc10017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_Toc10826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1.4.2操作说明</w:t>
          </w:r>
          <w:r>
            <w:tab/>
          </w:r>
          <w:r>
            <w:fldChar w:fldCharType="begin"/>
          </w:r>
          <w:r>
            <w:instrText xml:space="preserve"> PAGEREF _Toc10826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_Toc16205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1.4.3功能说明</w:t>
          </w:r>
          <w:r>
            <w:tab/>
          </w:r>
          <w:r>
            <w:fldChar w:fldCharType="begin"/>
          </w:r>
          <w:r>
            <w:instrText xml:space="preserve"> PAGEREF _Toc16205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_Toc22076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1.5.国家管理</w:t>
          </w:r>
          <w:r>
            <w:tab/>
          </w:r>
          <w:r>
            <w:fldChar w:fldCharType="begin"/>
          </w:r>
          <w:r>
            <w:instrText xml:space="preserve"> PAGEREF _Toc22076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_Toc15162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1.5.1功能介绍</w:t>
          </w:r>
          <w:r>
            <w:tab/>
          </w:r>
          <w:r>
            <w:fldChar w:fldCharType="begin"/>
          </w:r>
          <w:r>
            <w:instrText xml:space="preserve"> PAGEREF _Toc15162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_Toc19407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1.5.2操作说明</w:t>
          </w:r>
          <w:r>
            <w:tab/>
          </w:r>
          <w:r>
            <w:fldChar w:fldCharType="begin"/>
          </w:r>
          <w:r>
            <w:instrText xml:space="preserve"> PAGEREF _Toc19407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_Toc25744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1.5.3功能说明</w:t>
          </w:r>
          <w:r>
            <w:tab/>
          </w:r>
          <w:r>
            <w:fldChar w:fldCharType="begin"/>
          </w:r>
          <w:r>
            <w:instrText xml:space="preserve"> PAGEREF _Toc25744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_Toc24386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1.6.货币管理</w:t>
          </w:r>
          <w:r>
            <w:tab/>
          </w:r>
          <w:r>
            <w:fldChar w:fldCharType="begin"/>
          </w:r>
          <w:r>
            <w:instrText xml:space="preserve"> PAGEREF _Toc24386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_Toc29437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1.6.1功能介绍</w:t>
          </w:r>
          <w:r>
            <w:tab/>
          </w:r>
          <w:r>
            <w:fldChar w:fldCharType="begin"/>
          </w:r>
          <w:r>
            <w:instrText xml:space="preserve"> PAGEREF _Toc29437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_Toc29767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1.6.2操作说明</w:t>
          </w:r>
          <w:r>
            <w:tab/>
          </w:r>
          <w:r>
            <w:fldChar w:fldCharType="begin"/>
          </w:r>
          <w:r>
            <w:instrText xml:space="preserve"> PAGEREF _Toc29767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_Toc8997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1.6.3功能说明</w:t>
          </w:r>
          <w:r>
            <w:tab/>
          </w:r>
          <w:r>
            <w:fldChar w:fldCharType="begin"/>
          </w:r>
          <w:r>
            <w:instrText xml:space="preserve"> PAGEREF _Toc8997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_Toc1483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1.7运营类目管理</w:t>
          </w:r>
          <w:r>
            <w:tab/>
          </w:r>
          <w:r>
            <w:fldChar w:fldCharType="begin"/>
          </w:r>
          <w:r>
            <w:instrText xml:space="preserve"> PAGEREF _Toc1483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_Toc14797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1.7.1功能介绍</w:t>
          </w:r>
          <w:r>
            <w:tab/>
          </w:r>
          <w:r>
            <w:fldChar w:fldCharType="begin"/>
          </w:r>
          <w:r>
            <w:instrText xml:space="preserve"> PAGEREF _Toc14797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_Toc19675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1.7.2操作说明</w:t>
          </w:r>
          <w:r>
            <w:tab/>
          </w:r>
          <w:r>
            <w:fldChar w:fldCharType="begin"/>
          </w:r>
          <w:r>
            <w:instrText xml:space="preserve"> PAGEREF _Toc19675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_Toc32163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1.7.3功能说明</w:t>
          </w:r>
          <w:r>
            <w:tab/>
          </w:r>
          <w:r>
            <w:fldChar w:fldCharType="begin"/>
          </w:r>
          <w:r>
            <w:instrText xml:space="preserve"> PAGEREF _Toc32163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_Toc2017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2、渠道商管理</w:t>
          </w:r>
          <w:r>
            <w:tab/>
          </w:r>
          <w:r>
            <w:fldChar w:fldCharType="begin"/>
          </w:r>
          <w:r>
            <w:instrText xml:space="preserve"> PAGEREF _Toc2017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_Toc17433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2.1.1功能介绍：</w:t>
          </w:r>
          <w:r>
            <w:tab/>
          </w:r>
          <w:r>
            <w:fldChar w:fldCharType="begin"/>
          </w:r>
          <w:r>
            <w:instrText xml:space="preserve"> PAGEREF _Toc17433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_Toc11401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2.1.2操作说明</w:t>
          </w:r>
          <w:r>
            <w:tab/>
          </w:r>
          <w:r>
            <w:fldChar w:fldCharType="begin"/>
          </w:r>
          <w:r>
            <w:instrText xml:space="preserve"> PAGEREF _Toc11401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_Toc21025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2.1.3功能说明</w:t>
          </w:r>
          <w:r>
            <w:tab/>
          </w:r>
          <w:r>
            <w:fldChar w:fldCharType="begin"/>
          </w:r>
          <w:r>
            <w:instrText xml:space="preserve"> PAGEREF _Toc21025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_Toc25102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2.1.3.1渠道账户管理</w:t>
          </w:r>
          <w:r>
            <w:tab/>
          </w:r>
          <w:r>
            <w:fldChar w:fldCharType="begin"/>
          </w:r>
          <w:r>
            <w:instrText xml:space="preserve"> PAGEREF _Toc25102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_Toc6102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2.1.3.2推广折扣配置</w:t>
          </w:r>
          <w:r>
            <w:tab/>
          </w:r>
          <w:r>
            <w:fldChar w:fldCharType="begin"/>
          </w:r>
          <w:r>
            <w:instrText xml:space="preserve"> PAGEREF _Toc6102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_Toc20167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2.1.3.3渠道客户管理</w:t>
          </w:r>
          <w:r>
            <w:tab/>
          </w:r>
          <w:r>
            <w:fldChar w:fldCharType="begin"/>
          </w:r>
          <w:r>
            <w:instrText xml:space="preserve"> PAGEREF _Toc20167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_Toc17997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3、注册登录</w:t>
          </w:r>
          <w:r>
            <w:tab/>
          </w:r>
          <w:r>
            <w:fldChar w:fldCharType="begin"/>
          </w:r>
          <w:r>
            <w:instrText xml:space="preserve"> PAGEREF _Toc17997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_Toc23327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3.1.1功能介绍</w:t>
          </w:r>
          <w:r>
            <w:tab/>
          </w:r>
          <w:r>
            <w:fldChar w:fldCharType="begin"/>
          </w:r>
          <w:r>
            <w:instrText xml:space="preserve"> PAGEREF _Toc23327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_Toc31020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3.1.2操作说明</w:t>
          </w:r>
          <w:r>
            <w:tab/>
          </w:r>
          <w:r>
            <w:fldChar w:fldCharType="begin"/>
          </w:r>
          <w:r>
            <w:instrText xml:space="preserve"> PAGEREF _Toc31020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_Toc23913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3.1.3功能说明</w:t>
          </w:r>
          <w:r>
            <w:tab/>
          </w:r>
          <w:r>
            <w:fldChar w:fldCharType="begin"/>
          </w:r>
          <w:r>
            <w:instrText xml:space="preserve"> PAGEREF _Toc23913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_Toc14776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3.1.3.1注册</w:t>
          </w:r>
          <w:r>
            <w:tab/>
          </w:r>
          <w:r>
            <w:fldChar w:fldCharType="begin"/>
          </w:r>
          <w:r>
            <w:instrText xml:space="preserve"> PAGEREF _Toc14776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_Toc32040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3.1.3.2登录</w:t>
          </w:r>
          <w:r>
            <w:tab/>
          </w:r>
          <w:r>
            <w:fldChar w:fldCharType="begin"/>
          </w:r>
          <w:r>
            <w:instrText xml:space="preserve"> PAGEREF _Toc32040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_Toc3951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3.1.3.3忘记密码</w:t>
          </w:r>
          <w:r>
            <w:tab/>
          </w:r>
          <w:r>
            <w:fldChar w:fldCharType="begin"/>
          </w:r>
          <w:r>
            <w:instrText xml:space="preserve"> PAGEREF _Toc3951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_Toc20932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3.1.3.4修改密码</w:t>
          </w:r>
          <w:r>
            <w:tab/>
          </w:r>
          <w:r>
            <w:fldChar w:fldCharType="begin"/>
          </w:r>
          <w:r>
            <w:instrText xml:space="preserve"> PAGEREF _Toc20932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_Toc12916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3.1.3.5基础信息</w:t>
          </w:r>
          <w:r>
            <w:tab/>
          </w:r>
          <w:r>
            <w:fldChar w:fldCharType="begin"/>
          </w:r>
          <w:r>
            <w:instrText xml:space="preserve"> PAGEREF _Toc12916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_Toc8136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4、工作台</w:t>
          </w:r>
          <w:r>
            <w:tab/>
          </w:r>
          <w:r>
            <w:fldChar w:fldCharType="begin"/>
          </w:r>
          <w:r>
            <w:instrText xml:space="preserve"> PAGEREF _Toc8136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_Toc22098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4.1.1功能介绍</w:t>
          </w:r>
          <w:r>
            <w:tab/>
          </w:r>
          <w:r>
            <w:fldChar w:fldCharType="begin"/>
          </w:r>
          <w:r>
            <w:instrText xml:space="preserve"> PAGEREF _Toc22098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_Toc28948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4.1.2操作说明</w:t>
          </w:r>
          <w:r>
            <w:tab/>
          </w:r>
          <w:r>
            <w:fldChar w:fldCharType="begin"/>
          </w:r>
          <w:r>
            <w:instrText xml:space="preserve"> PAGEREF _Toc28948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_Toc30689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4.1.3功能说明</w:t>
          </w:r>
          <w:r>
            <w:tab/>
          </w:r>
          <w:r>
            <w:fldChar w:fldCharType="begin"/>
          </w:r>
          <w:r>
            <w:instrText xml:space="preserve"> PAGEREF _Toc30689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4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_Toc26542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1.快捷入口</w:t>
          </w:r>
          <w:r>
            <w:tab/>
          </w:r>
          <w:r>
            <w:fldChar w:fldCharType="begin"/>
          </w:r>
          <w:r>
            <w:instrText xml:space="preserve"> PAGEREF _Toc26542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4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_Toc12119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2.合规日历</w:t>
          </w:r>
          <w:r>
            <w:tab/>
          </w:r>
          <w:r>
            <w:fldChar w:fldCharType="begin"/>
          </w:r>
          <w:r>
            <w:instrText xml:space="preserve"> PAGEREF _Toc12119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4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_Toc26651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3.一键反馈</w:t>
          </w:r>
          <w:r>
            <w:tab/>
          </w:r>
          <w:r>
            <w:fldChar w:fldCharType="begin"/>
          </w:r>
          <w:r>
            <w:instrText xml:space="preserve"> PAGEREF _Toc26651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4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_Toc20420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4.工具箱</w:t>
          </w:r>
          <w:r>
            <w:tab/>
          </w:r>
          <w:r>
            <w:fldChar w:fldCharType="begin"/>
          </w:r>
          <w:r>
            <w:instrText xml:space="preserve"> PAGEREF _Toc20420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_Toc24412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5、公司管理</w:t>
          </w:r>
          <w:r>
            <w:tab/>
          </w:r>
          <w:r>
            <w:fldChar w:fldCharType="begin"/>
          </w:r>
          <w:r>
            <w:instrText xml:space="preserve"> PAGEREF _Toc24412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_Toc10122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5.1.1功能介绍</w:t>
          </w:r>
          <w:r>
            <w:tab/>
          </w:r>
          <w:r>
            <w:fldChar w:fldCharType="begin"/>
          </w:r>
          <w:r>
            <w:instrText xml:space="preserve"> PAGEREF _Toc10122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_Toc18955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5.1.2操作说明</w:t>
          </w:r>
          <w:r>
            <w:tab/>
          </w:r>
          <w:r>
            <w:fldChar w:fldCharType="begin"/>
          </w:r>
          <w:r>
            <w:instrText xml:space="preserve"> PAGEREF _Toc18955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_Toc4505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5.1.3功能说明</w:t>
          </w:r>
          <w:r>
            <w:tab/>
          </w:r>
          <w:r>
            <w:fldChar w:fldCharType="begin"/>
          </w:r>
          <w:r>
            <w:instrText xml:space="preserve"> PAGEREF _Toc4505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_Toc3371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5.1.3.1批量维护公司信息</w:t>
          </w:r>
          <w:r>
            <w:tab/>
          </w:r>
          <w:r>
            <w:fldChar w:fldCharType="begin"/>
          </w:r>
          <w:r>
            <w:instrText xml:space="preserve"> PAGEREF _Toc3371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_Toc17775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5.1.3.2编辑公司信息</w:t>
          </w:r>
          <w:r>
            <w:tab/>
          </w:r>
          <w:r>
            <w:fldChar w:fldCharType="begin"/>
          </w:r>
          <w:r>
            <w:instrText xml:space="preserve"> PAGEREF _Toc17775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_Toc30374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5.1.3.3启用</w:t>
          </w:r>
          <w:r>
            <w:tab/>
          </w:r>
          <w:r>
            <w:fldChar w:fldCharType="begin"/>
          </w:r>
          <w:r>
            <w:instrText xml:space="preserve"> PAGEREF _Toc30374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_Toc1067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5.1.3.4停用</w:t>
          </w:r>
          <w:r>
            <w:tab/>
          </w:r>
          <w:r>
            <w:fldChar w:fldCharType="begin"/>
          </w:r>
          <w:r>
            <w:instrText xml:space="preserve"> PAGEREF _Toc1067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_Toc10896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5.1.3.5删除</w:t>
          </w:r>
          <w:r>
            <w:tab/>
          </w:r>
          <w:r>
            <w:fldChar w:fldCharType="begin"/>
          </w:r>
          <w:r>
            <w:instrText xml:space="preserve"> PAGEREF _Toc10896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_Toc29497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5.1.3.查看公司详情</w:t>
          </w:r>
          <w:r>
            <w:tab/>
          </w:r>
          <w:r>
            <w:fldChar w:fldCharType="begin"/>
          </w:r>
          <w:r>
            <w:instrText xml:space="preserve"> PAGEREF _Toc29497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_Toc11172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6、商城管理</w:t>
          </w:r>
          <w:r>
            <w:tab/>
          </w:r>
          <w:r>
            <w:fldChar w:fldCharType="begin"/>
          </w:r>
          <w:r>
            <w:instrText xml:space="preserve"> PAGEREF _Toc11172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_Toc14689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6.1.1功能介绍</w:t>
          </w:r>
          <w:r>
            <w:tab/>
          </w:r>
          <w:r>
            <w:fldChar w:fldCharType="begin"/>
          </w:r>
          <w:r>
            <w:instrText xml:space="preserve"> PAGEREF _Toc14689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_Toc24733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6.1.2操作说明</w:t>
          </w:r>
          <w:r>
            <w:tab/>
          </w:r>
          <w:r>
            <w:fldChar w:fldCharType="begin"/>
          </w:r>
          <w:r>
            <w:instrText xml:space="preserve"> PAGEREF _Toc24733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_Toc22844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6.1.3功能说明</w:t>
          </w:r>
          <w:r>
            <w:tab/>
          </w:r>
          <w:r>
            <w:fldChar w:fldCharType="begin"/>
          </w:r>
          <w:r>
            <w:instrText xml:space="preserve"> PAGEREF _Toc22844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_Toc17749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6.1.3.1.商品管理</w:t>
          </w:r>
          <w:r>
            <w:tab/>
          </w:r>
          <w:r>
            <w:fldChar w:fldCharType="begin"/>
          </w:r>
          <w:r>
            <w:instrText xml:space="preserve"> PAGEREF _Toc17749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_Toc23643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6.1.3.2服务商城管理</w:t>
          </w:r>
          <w:r>
            <w:tab/>
          </w:r>
          <w:r>
            <w:fldChar w:fldCharType="begin"/>
          </w:r>
          <w:r>
            <w:instrText xml:space="preserve"> PAGEREF _Toc23643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_Toc11723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6.1.3.3.交易订单</w:t>
          </w:r>
          <w:r>
            <w:tab/>
          </w:r>
          <w:r>
            <w:fldChar w:fldCharType="begin"/>
          </w:r>
          <w:r>
            <w:instrText xml:space="preserve"> PAGEREF _Toc11723 \h </w:instrText>
          </w:r>
          <w:r>
            <w:fldChar w:fldCharType="separate"/>
          </w:r>
          <w:r>
            <w:t>54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_Toc15525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6.1.3.4.售后订单</w:t>
          </w:r>
          <w:r>
            <w:tab/>
          </w:r>
          <w:r>
            <w:fldChar w:fldCharType="begin"/>
          </w:r>
          <w:r>
            <w:instrText xml:space="preserve"> PAGEREF _Toc15525 \h </w:instrText>
          </w:r>
          <w:r>
            <w:fldChar w:fldCharType="separate"/>
          </w:r>
          <w:r>
            <w:t>55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_Toc29319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6.1.3.5.发票管理</w:t>
          </w:r>
          <w:r>
            <w:tab/>
          </w:r>
          <w:r>
            <w:fldChar w:fldCharType="begin"/>
          </w:r>
          <w:r>
            <w:instrText xml:space="preserve"> PAGEREF _Toc29319 \h </w:instrText>
          </w:r>
          <w:r>
            <w:fldChar w:fldCharType="separate"/>
          </w:r>
          <w:r>
            <w:t>58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_Toc9661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7、VAT管理</w:t>
          </w:r>
          <w:r>
            <w:tab/>
          </w:r>
          <w:r>
            <w:fldChar w:fldCharType="begin"/>
          </w:r>
          <w:r>
            <w:instrText xml:space="preserve"> PAGEREF _Toc9661 \h </w:instrText>
          </w:r>
          <w:r>
            <w:fldChar w:fldCharType="separate"/>
          </w:r>
          <w:r>
            <w:t>60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_Toc22774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7.1.1功能介绍</w:t>
          </w:r>
          <w:r>
            <w:tab/>
          </w:r>
          <w:r>
            <w:fldChar w:fldCharType="begin"/>
          </w:r>
          <w:r>
            <w:instrText xml:space="preserve"> PAGEREF _Toc22774 \h </w:instrText>
          </w:r>
          <w:r>
            <w:fldChar w:fldCharType="separate"/>
          </w:r>
          <w:r>
            <w:t>60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_Toc13929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7.1.2操作说明</w:t>
          </w:r>
          <w:r>
            <w:tab/>
          </w:r>
          <w:r>
            <w:fldChar w:fldCharType="begin"/>
          </w:r>
          <w:r>
            <w:instrText xml:space="preserve"> PAGEREF _Toc13929 \h </w:instrText>
          </w:r>
          <w:r>
            <w:fldChar w:fldCharType="separate"/>
          </w:r>
          <w:r>
            <w:t>61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_Toc24490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7.1.3功能说明</w:t>
          </w:r>
          <w:r>
            <w:tab/>
          </w:r>
          <w:r>
            <w:fldChar w:fldCharType="begin"/>
          </w:r>
          <w:r>
            <w:instrText xml:space="preserve"> PAGEREF _Toc24490 \h </w:instrText>
          </w:r>
          <w:r>
            <w:fldChar w:fldCharType="separate"/>
          </w:r>
          <w:r>
            <w:t>61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_Toc27211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7.1.3.1 VAT服务单列表</w:t>
          </w:r>
          <w:r>
            <w:tab/>
          </w:r>
          <w:r>
            <w:fldChar w:fldCharType="begin"/>
          </w:r>
          <w:r>
            <w:instrText xml:space="preserve"> PAGEREF _Toc27211 \h </w:instrText>
          </w:r>
          <w:r>
            <w:fldChar w:fldCharType="separate"/>
          </w:r>
          <w:r>
            <w:t>61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_Toc5545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7.1.3.2 VAT税号</w:t>
          </w:r>
          <w:r>
            <w:tab/>
          </w:r>
          <w:r>
            <w:fldChar w:fldCharType="begin"/>
          </w:r>
          <w:r>
            <w:instrText xml:space="preserve"> PAGEREF _Toc5545 \h </w:instrText>
          </w:r>
          <w:r>
            <w:fldChar w:fldCharType="separate"/>
          </w:r>
          <w:r>
            <w:t>66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_Toc22139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7.1.3.3 VAT申报管理</w:t>
          </w:r>
          <w:r>
            <w:tab/>
          </w:r>
          <w:r>
            <w:fldChar w:fldCharType="begin"/>
          </w:r>
          <w:r>
            <w:instrText xml:space="preserve"> PAGEREF _Toc22139 \h </w:instrText>
          </w:r>
          <w:r>
            <w:fldChar w:fldCharType="separate"/>
          </w:r>
          <w:r>
            <w:t>68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4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_Toc7474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  <w:lang w:val="en-US" w:eastAsia="zh-CN"/>
            </w:rPr>
            <w:t>1.申报管理</w:t>
          </w:r>
          <w:r>
            <w:tab/>
          </w:r>
          <w:r>
            <w:fldChar w:fldCharType="begin"/>
          </w:r>
          <w:r>
            <w:instrText xml:space="preserve"> PAGEREF _Toc7474 \h </w:instrText>
          </w:r>
          <w:r>
            <w:fldChar w:fldCharType="separate"/>
          </w:r>
          <w:r>
            <w:t>68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_Toc30647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7.1.3.4 VAT申报</w:t>
          </w:r>
          <w:r>
            <w:tab/>
          </w:r>
          <w:r>
            <w:fldChar w:fldCharType="begin"/>
          </w:r>
          <w:r>
            <w:instrText xml:space="preserve"> PAGEREF _Toc30647 \h </w:instrText>
          </w:r>
          <w:r>
            <w:fldChar w:fldCharType="separate"/>
          </w:r>
          <w:r>
            <w:t>70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_Toc15772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7.1.3.5 汇率</w:t>
          </w:r>
          <w:r>
            <w:tab/>
          </w:r>
          <w:r>
            <w:fldChar w:fldCharType="begin"/>
          </w:r>
          <w:r>
            <w:instrText xml:space="preserve"> PAGEREF _Toc15772 \h </w:instrText>
          </w:r>
          <w:r>
            <w:fldChar w:fldCharType="separate"/>
          </w:r>
          <w:r>
            <w:t>77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_Toc1858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7.1.3.6 申报义务</w:t>
          </w:r>
          <w:r>
            <w:tab/>
          </w:r>
          <w:r>
            <w:fldChar w:fldCharType="begin"/>
          </w:r>
          <w:r>
            <w:instrText xml:space="preserve"> PAGEREF _Toc1858 \h </w:instrText>
          </w:r>
          <w:r>
            <w:fldChar w:fldCharType="separate"/>
          </w:r>
          <w:r>
            <w:t>78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_Toc17725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8、ERP合规管理</w:t>
          </w:r>
          <w:r>
            <w:tab/>
          </w:r>
          <w:r>
            <w:fldChar w:fldCharType="begin"/>
          </w:r>
          <w:r>
            <w:instrText xml:space="preserve"> PAGEREF _Toc17725 \h </w:instrText>
          </w:r>
          <w:r>
            <w:fldChar w:fldCharType="separate"/>
          </w:r>
          <w:r>
            <w:t>78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_Toc13238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8.1.1功能介绍</w:t>
          </w:r>
          <w:r>
            <w:tab/>
          </w:r>
          <w:r>
            <w:fldChar w:fldCharType="begin"/>
          </w:r>
          <w:r>
            <w:instrText xml:space="preserve"> PAGEREF _Toc13238 \h </w:instrText>
          </w:r>
          <w:r>
            <w:fldChar w:fldCharType="separate"/>
          </w:r>
          <w:r>
            <w:t>78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_Toc17275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8.1.2操作说明</w:t>
          </w:r>
          <w:r>
            <w:tab/>
          </w:r>
          <w:r>
            <w:fldChar w:fldCharType="begin"/>
          </w:r>
          <w:r>
            <w:instrText xml:space="preserve"> PAGEREF _Toc17275 \h </w:instrText>
          </w:r>
          <w:r>
            <w:fldChar w:fldCharType="separate"/>
          </w:r>
          <w:r>
            <w:t>78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_Toc17738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8.1.3功能说明</w:t>
          </w:r>
          <w:r>
            <w:tab/>
          </w:r>
          <w:r>
            <w:fldChar w:fldCharType="begin"/>
          </w:r>
          <w:r>
            <w:instrText xml:space="preserve"> PAGEREF _Toc17738 \h </w:instrText>
          </w:r>
          <w:r>
            <w:fldChar w:fldCharType="separate"/>
          </w:r>
          <w:r>
            <w:t>79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_Toc9334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8.1.3.1 EPR服务单列表</w:t>
          </w:r>
          <w:r>
            <w:tab/>
          </w:r>
          <w:r>
            <w:fldChar w:fldCharType="begin"/>
          </w:r>
          <w:r>
            <w:instrText xml:space="preserve"> PAGEREF _Toc9334 \h </w:instrText>
          </w:r>
          <w:r>
            <w:fldChar w:fldCharType="separate"/>
          </w:r>
          <w:r>
            <w:t>79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_Toc12633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8.1.3.2 EPR注册号</w:t>
          </w:r>
          <w:r>
            <w:tab/>
          </w:r>
          <w:r>
            <w:fldChar w:fldCharType="begin"/>
          </w:r>
          <w:r>
            <w:instrText xml:space="preserve"> PAGEREF _Toc12633 \h </w:instrText>
          </w:r>
          <w:r>
            <w:fldChar w:fldCharType="separate"/>
          </w:r>
          <w:r>
            <w:t>83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_Toc17129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8.1.3.3 EPR申报义务</w:t>
          </w:r>
          <w:r>
            <w:tab/>
          </w:r>
          <w:r>
            <w:fldChar w:fldCharType="begin"/>
          </w:r>
          <w:r>
            <w:instrText xml:space="preserve"> PAGEREF _Toc17129 \h </w:instrText>
          </w:r>
          <w:r>
            <w:fldChar w:fldCharType="separate"/>
          </w:r>
          <w:r>
            <w:t>84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_Toc32570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8.1.3.4 EPR申报记录（德国）</w:t>
          </w:r>
          <w:r>
            <w:tab/>
          </w:r>
          <w:r>
            <w:fldChar w:fldCharType="begin"/>
          </w:r>
          <w:r>
            <w:instrText xml:space="preserve"> PAGEREF _Toc32570 \h </w:instrText>
          </w:r>
          <w:r>
            <w:fldChar w:fldCharType="separate"/>
          </w:r>
          <w:r>
            <w:t>85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_Toc27193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8.1.3.5 EPR申报记录（法国）</w:t>
          </w:r>
          <w:r>
            <w:tab/>
          </w:r>
          <w:r>
            <w:fldChar w:fldCharType="begin"/>
          </w:r>
          <w:r>
            <w:instrText xml:space="preserve"> PAGEREF _Toc27193 \h </w:instrText>
          </w:r>
          <w:r>
            <w:fldChar w:fldCharType="separate"/>
          </w:r>
          <w:r>
            <w:t>87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_Toc12443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8.1.3.6 EPR计费规则</w:t>
          </w:r>
          <w:r>
            <w:tab/>
          </w:r>
          <w:r>
            <w:fldChar w:fldCharType="begin"/>
          </w:r>
          <w:r>
            <w:instrText xml:space="preserve"> PAGEREF _Toc12443 \h </w:instrText>
          </w:r>
          <w:r>
            <w:fldChar w:fldCharType="separate"/>
          </w:r>
          <w:r>
            <w:t>92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_Toc20933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8.1.3.7 EPR汇率配置</w:t>
          </w:r>
          <w:r>
            <w:tab/>
          </w:r>
          <w:r>
            <w:fldChar w:fldCharType="begin"/>
          </w:r>
          <w:r>
            <w:instrText xml:space="preserve"> PAGEREF _Toc20933 \h </w:instrText>
          </w:r>
          <w:r>
            <w:fldChar w:fldCharType="separate"/>
          </w:r>
          <w:r>
            <w:t>93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_Toc12806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8.1.3.8 回收组织</w:t>
          </w:r>
          <w:r>
            <w:tab/>
          </w:r>
          <w:r>
            <w:fldChar w:fldCharType="begin"/>
          </w:r>
          <w:r>
            <w:instrText xml:space="preserve"> PAGEREF _Toc12806 \h </w:instrText>
          </w:r>
          <w:r>
            <w:fldChar w:fldCharType="separate"/>
          </w:r>
          <w:r>
            <w:t>94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_Toc9208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8.1.3.9 在线缴费</w:t>
          </w:r>
          <w:r>
            <w:tab/>
          </w:r>
          <w:r>
            <w:fldChar w:fldCharType="begin"/>
          </w:r>
          <w:r>
            <w:instrText xml:space="preserve"> PAGEREF _Toc9208 \h </w:instrText>
          </w:r>
          <w:r>
            <w:fldChar w:fldCharType="separate"/>
          </w:r>
          <w:r>
            <w:t>95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_Toc15415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8.1.3.10 EPR加类加品牌</w:t>
          </w:r>
          <w:r>
            <w:tab/>
          </w:r>
          <w:r>
            <w:fldChar w:fldCharType="begin"/>
          </w:r>
          <w:r>
            <w:instrText xml:space="preserve"> PAGEREF _Toc15415 \h </w:instrText>
          </w:r>
          <w:r>
            <w:fldChar w:fldCharType="separate"/>
          </w:r>
          <w:r>
            <w:t>97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_Toc30380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9、信件管理</w:t>
          </w:r>
          <w:r>
            <w:tab/>
          </w:r>
          <w:r>
            <w:fldChar w:fldCharType="begin"/>
          </w:r>
          <w:r>
            <w:instrText xml:space="preserve"> PAGEREF _Toc30380 \h </w:instrText>
          </w:r>
          <w:r>
            <w:fldChar w:fldCharType="separate"/>
          </w:r>
          <w:r>
            <w:t>97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_Toc5477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9.1.1功能介绍</w:t>
          </w:r>
          <w:r>
            <w:tab/>
          </w:r>
          <w:r>
            <w:fldChar w:fldCharType="begin"/>
          </w:r>
          <w:r>
            <w:instrText xml:space="preserve"> PAGEREF _Toc5477 \h </w:instrText>
          </w:r>
          <w:r>
            <w:fldChar w:fldCharType="separate"/>
          </w:r>
          <w:r>
            <w:t>97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_Toc2013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9.1.2操作说明</w:t>
          </w:r>
          <w:r>
            <w:tab/>
          </w:r>
          <w:r>
            <w:fldChar w:fldCharType="begin"/>
          </w:r>
          <w:r>
            <w:instrText xml:space="preserve"> PAGEREF _Toc2013 \h </w:instrText>
          </w:r>
          <w:r>
            <w:fldChar w:fldCharType="separate"/>
          </w:r>
          <w:r>
            <w:t>98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_Toc22972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9.1.3功能说明</w:t>
          </w:r>
          <w:r>
            <w:tab/>
          </w:r>
          <w:r>
            <w:fldChar w:fldCharType="begin"/>
          </w:r>
          <w:r>
            <w:instrText xml:space="preserve"> PAGEREF _Toc22972 \h </w:instrText>
          </w:r>
          <w:r>
            <w:fldChar w:fldCharType="separate"/>
          </w:r>
          <w:r>
            <w:t>98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_Toc26815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9.1.3.1.组织邮箱管理</w:t>
          </w:r>
          <w:r>
            <w:tab/>
          </w:r>
          <w:r>
            <w:fldChar w:fldCharType="begin"/>
          </w:r>
          <w:r>
            <w:instrText xml:space="preserve"> PAGEREF _Toc26815 \h </w:instrText>
          </w:r>
          <w:r>
            <w:fldChar w:fldCharType="separate"/>
          </w:r>
          <w:r>
            <w:t>98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_Toc27782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9.1.3.2.业务邮箱管理</w:t>
          </w:r>
          <w:r>
            <w:tab/>
          </w:r>
          <w:r>
            <w:fldChar w:fldCharType="begin"/>
          </w:r>
          <w:r>
            <w:instrText xml:space="preserve"> PAGEREF _Toc27782 \h </w:instrText>
          </w:r>
          <w:r>
            <w:fldChar w:fldCharType="separate"/>
          </w:r>
          <w:r>
            <w:t>100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_Toc21168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9.1.3.3.信件类型配置</w:t>
          </w:r>
          <w:r>
            <w:tab/>
          </w:r>
          <w:r>
            <w:fldChar w:fldCharType="begin"/>
          </w:r>
          <w:r>
            <w:instrText xml:space="preserve"> PAGEREF _Toc21168 \h </w:instrText>
          </w:r>
          <w:r>
            <w:fldChar w:fldCharType="separate"/>
          </w:r>
          <w:r>
            <w:t>102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_Toc32738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9.1.3.4.收件管理</w:t>
          </w:r>
          <w:r>
            <w:tab/>
          </w:r>
          <w:r>
            <w:fldChar w:fldCharType="begin"/>
          </w:r>
          <w:r>
            <w:instrText xml:space="preserve"> PAGEREF _Toc32738 \h </w:instrText>
          </w:r>
          <w:r>
            <w:fldChar w:fldCharType="separate"/>
          </w:r>
          <w:r>
            <w:t>104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_Toc31910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9.1.3.5.发件管理</w:t>
          </w:r>
          <w:r>
            <w:tab/>
          </w:r>
          <w:r>
            <w:fldChar w:fldCharType="begin"/>
          </w:r>
          <w:r>
            <w:instrText xml:space="preserve"> PAGEREF _Toc31910 \h </w:instrText>
          </w:r>
          <w:r>
            <w:fldChar w:fldCharType="separate"/>
          </w:r>
          <w:r>
            <w:t>106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_Toc20222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9.1.3.6.我的信件</w:t>
          </w:r>
          <w:r>
            <w:tab/>
          </w:r>
          <w:r>
            <w:fldChar w:fldCharType="begin"/>
          </w:r>
          <w:r>
            <w:instrText xml:space="preserve"> PAGEREF _Toc20222 \h </w:instrText>
          </w:r>
          <w:r>
            <w:fldChar w:fldCharType="separate"/>
          </w:r>
          <w:r>
            <w:t>107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_Toc15612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10、财务管理</w:t>
          </w:r>
          <w:r>
            <w:tab/>
          </w:r>
          <w:r>
            <w:fldChar w:fldCharType="begin"/>
          </w:r>
          <w:r>
            <w:instrText xml:space="preserve"> PAGEREF _Toc15612 \h </w:instrText>
          </w:r>
          <w:r>
            <w:fldChar w:fldCharType="separate"/>
          </w:r>
          <w:r>
            <w:t>107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_Toc18207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10.1.1功能介绍</w:t>
          </w:r>
          <w:r>
            <w:tab/>
          </w:r>
          <w:r>
            <w:fldChar w:fldCharType="begin"/>
          </w:r>
          <w:r>
            <w:instrText xml:space="preserve"> PAGEREF _Toc18207 \h </w:instrText>
          </w:r>
          <w:r>
            <w:fldChar w:fldCharType="separate"/>
          </w:r>
          <w:r>
            <w:t>107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_Toc25301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10.1.2操作说明</w:t>
          </w:r>
          <w:r>
            <w:tab/>
          </w:r>
          <w:r>
            <w:fldChar w:fldCharType="begin"/>
          </w:r>
          <w:r>
            <w:instrText xml:space="preserve"> PAGEREF _Toc25301 \h </w:instrText>
          </w:r>
          <w:r>
            <w:fldChar w:fldCharType="separate"/>
          </w:r>
          <w:r>
            <w:t>107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_Toc32262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10.1.3功能说明</w:t>
          </w:r>
          <w:r>
            <w:tab/>
          </w:r>
          <w:r>
            <w:fldChar w:fldCharType="begin"/>
          </w:r>
          <w:r>
            <w:instrText xml:space="preserve"> PAGEREF _Toc32262 \h </w:instrText>
          </w:r>
          <w:r>
            <w:fldChar w:fldCharType="separate"/>
          </w:r>
          <w:r>
            <w:t>107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_Toc19309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10.1.3.1.渠道商账单</w:t>
          </w:r>
          <w:r>
            <w:tab/>
          </w:r>
          <w:r>
            <w:fldChar w:fldCharType="begin"/>
          </w:r>
          <w:r>
            <w:instrText xml:space="preserve"> PAGEREF _Toc19309 \h </w:instrText>
          </w:r>
          <w:r>
            <w:fldChar w:fldCharType="separate"/>
          </w:r>
          <w:r>
            <w:t>108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_Toc2166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10.1.3.2.渠道订单明细</w:t>
          </w:r>
          <w:r>
            <w:tab/>
          </w:r>
          <w:r>
            <w:fldChar w:fldCharType="begin"/>
          </w:r>
          <w:r>
            <w:instrText xml:space="preserve"> PAGEREF _Toc2166 \h </w:instrText>
          </w:r>
          <w:r>
            <w:fldChar w:fldCharType="separate"/>
          </w:r>
          <w:r>
            <w:t>110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_Toc6925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10.1.3.2.代理商账单</w:t>
          </w:r>
          <w:r>
            <w:tab/>
          </w:r>
          <w:r>
            <w:fldChar w:fldCharType="begin"/>
          </w:r>
          <w:r>
            <w:instrText xml:space="preserve"> PAGEREF _Toc6925 \h </w:instrText>
          </w:r>
          <w:r>
            <w:fldChar w:fldCharType="separate"/>
          </w:r>
          <w:r>
            <w:t>110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_Toc6627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10.1.3.4.代理订单明细</w:t>
          </w:r>
          <w:r>
            <w:tab/>
          </w:r>
          <w:r>
            <w:fldChar w:fldCharType="begin"/>
          </w:r>
          <w:r>
            <w:instrText xml:space="preserve"> PAGEREF _Toc6627 \h </w:instrText>
          </w:r>
          <w:r>
            <w:fldChar w:fldCharType="separate"/>
          </w:r>
          <w:r>
            <w:t>114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_Toc32381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11、 续费管理</w:t>
          </w:r>
          <w:r>
            <w:tab/>
          </w:r>
          <w:r>
            <w:fldChar w:fldCharType="begin"/>
          </w:r>
          <w:r>
            <w:instrText xml:space="preserve"> PAGEREF _Toc32381 \h </w:instrText>
          </w:r>
          <w:r>
            <w:fldChar w:fldCharType="separate"/>
          </w:r>
          <w:r>
            <w:t>114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_Toc24208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11.1.1功能介绍</w:t>
          </w:r>
          <w:r>
            <w:tab/>
          </w:r>
          <w:r>
            <w:fldChar w:fldCharType="begin"/>
          </w:r>
          <w:r>
            <w:instrText xml:space="preserve"> PAGEREF _Toc24208 \h </w:instrText>
          </w:r>
          <w:r>
            <w:fldChar w:fldCharType="separate"/>
          </w:r>
          <w:r>
            <w:t>114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_Toc16678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11.1.2操作说明</w:t>
          </w:r>
          <w:r>
            <w:tab/>
          </w:r>
          <w:r>
            <w:fldChar w:fldCharType="begin"/>
          </w:r>
          <w:r>
            <w:instrText xml:space="preserve"> PAGEREF _Toc16678 \h </w:instrText>
          </w:r>
          <w:r>
            <w:fldChar w:fldCharType="separate"/>
          </w:r>
          <w:r>
            <w:t>114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hyphen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_Toc19365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11.1.3功能说明</w:t>
          </w:r>
          <w:r>
            <w:tab/>
          </w:r>
          <w:r>
            <w:fldChar w:fldCharType="begin"/>
          </w:r>
          <w:r>
            <w:instrText xml:space="preserve"> PAGEREF _Toc19365 \h </w:instrText>
          </w:r>
          <w:r>
            <w:fldChar w:fldCharType="separate"/>
          </w:r>
          <w:r>
            <w:t>115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bidi w:val="0"/>
            <w:rPr>
              <w:rFonts w:hint="eastAsia"/>
              <w:lang w:val="en-US" w:eastAsia="zh-CN"/>
            </w:rPr>
          </w:pPr>
          <w:r>
            <w:rPr>
              <w:rFonts w:hint="eastAsia"/>
              <w:lang w:val="en-US" w:eastAsia="zh-CN"/>
            </w:rPr>
            <w:fldChar w:fldCharType="end"/>
          </w:r>
        </w:p>
      </w:sdtContent>
    </w:sdt>
    <w:p>
      <w:pPr>
        <w:bidi w:val="0"/>
        <w:rPr>
          <w:rFonts w:hint="eastAsia"/>
          <w:lang w:val="en-US" w:eastAsia="zh-CN"/>
        </w:rPr>
      </w:pPr>
    </w:p>
    <w:p>
      <w:pPr>
        <w:bidi w:val="0"/>
        <w:outlineLvl w:val="9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0" w:name="_Toc16079"/>
      <w:r>
        <w:rPr>
          <w:rFonts w:hint="eastAsia"/>
          <w:lang w:val="en-US" w:eastAsia="zh-CN"/>
        </w:rPr>
        <w:t>1、账号及基础管理</w:t>
      </w:r>
      <w:bookmarkEnd w:id="0"/>
    </w:p>
    <w:p>
      <w:pPr>
        <w:pStyle w:val="3"/>
        <w:bidi w:val="0"/>
        <w:outlineLvl w:val="1"/>
        <w:rPr>
          <w:rFonts w:hint="eastAsia"/>
          <w:lang w:val="en-US" w:eastAsia="zh-CN"/>
        </w:rPr>
      </w:pPr>
      <w:bookmarkStart w:id="1" w:name="_Toc12790"/>
      <w:r>
        <w:rPr>
          <w:rFonts w:hint="eastAsia"/>
          <w:lang w:val="en-US" w:eastAsia="zh-CN"/>
        </w:rPr>
        <w:t>1.1账号管理</w:t>
      </w:r>
      <w:bookmarkEnd w:id="1"/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2" w:name="_Toc3145"/>
      <w:r>
        <w:rPr>
          <w:rFonts w:hint="eastAsia"/>
          <w:lang w:val="en-US" w:eastAsia="zh-CN"/>
        </w:rPr>
        <w:t>1.1.1功能介绍：</w:t>
      </w:r>
      <w:bookmarkEnd w:id="2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账号管理是为了后台运营用户查询所有账号的功能，主要包含：查询账号及密码重新。</w:t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3" w:name="_Toc21226"/>
      <w:r>
        <w:rPr>
          <w:rFonts w:hint="eastAsia"/>
          <w:lang w:val="en-US" w:eastAsia="zh-CN"/>
        </w:rPr>
        <w:t>1.1.2操作说明</w:t>
      </w:r>
      <w:bookmarkEnd w:id="3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用户中心》权限管理》账号管理</w:t>
      </w:r>
    </w:p>
    <w:p>
      <w:pPr>
        <w:bidi w:val="0"/>
      </w:pPr>
      <w:r>
        <w:drawing>
          <wp:inline distT="0" distB="0" distL="114300" distR="114300">
            <wp:extent cx="5272405" cy="1956435"/>
            <wp:effectExtent l="0" t="0" r="10795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5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4" w:name="_Toc27497"/>
      <w:r>
        <w:rPr>
          <w:rFonts w:hint="eastAsia"/>
          <w:lang w:val="en-US" w:eastAsia="zh-CN"/>
        </w:rPr>
        <w:t>1.1.3功能说明</w:t>
      </w:r>
      <w:bookmarkEnd w:id="4"/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1.1.3.1账号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支持账号、邮箱、手机号码进行查询</w:t>
      </w:r>
    </w:p>
    <w:p>
      <w:pPr>
        <w:bidi w:val="0"/>
      </w:pPr>
      <w:r>
        <w:drawing>
          <wp:inline distT="0" distB="0" distL="114300" distR="114300">
            <wp:extent cx="5267325" cy="1285875"/>
            <wp:effectExtent l="0" t="0" r="3175" b="9525"/>
            <wp:docPr id="8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1.1.3.2密码重置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支持后台运营账户对账号进行密码重置功能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1961515"/>
            <wp:effectExtent l="0" t="0" r="2540" b="6985"/>
            <wp:docPr id="8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96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outlineLvl w:val="1"/>
        <w:rPr>
          <w:rFonts w:hint="eastAsia"/>
          <w:lang w:val="en-US" w:eastAsia="zh-CN"/>
        </w:rPr>
      </w:pPr>
      <w:bookmarkStart w:id="5" w:name="_Toc21812"/>
      <w:r>
        <w:rPr>
          <w:rFonts w:hint="eastAsia"/>
          <w:lang w:val="en-US" w:eastAsia="zh-CN"/>
        </w:rPr>
        <w:t>1.2.角色管理</w:t>
      </w:r>
      <w:bookmarkEnd w:id="5"/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6" w:name="_Toc21682"/>
      <w:r>
        <w:rPr>
          <w:rFonts w:hint="eastAsia"/>
          <w:lang w:val="en-US" w:eastAsia="zh-CN"/>
        </w:rPr>
        <w:t>1.2.1功能介绍：</w:t>
      </w:r>
      <w:bookmarkEnd w:id="6"/>
    </w:p>
    <w:p>
      <w:pPr>
        <w:bidi w:val="0"/>
        <w:rPr>
          <w:rFonts w:hint="default" w:ascii="Segoe UI" w:hAnsi="Segoe UI" w:eastAsia="宋体" w:cs="Segoe UI"/>
          <w:i w:val="0"/>
          <w:iCs w:val="0"/>
          <w:caps w:val="0"/>
          <w:color w:val="07133E"/>
          <w:spacing w:val="5"/>
          <w:sz w:val="16"/>
          <w:szCs w:val="16"/>
          <w:lang w:val="en-US" w:eastAsia="zh-CN"/>
        </w:rPr>
      </w:pPr>
      <w:r>
        <w:rPr>
          <w:rFonts w:ascii="Segoe UI" w:hAnsi="Segoe UI" w:eastAsia="Segoe UI" w:cs="Segoe UI"/>
          <w:i w:val="0"/>
          <w:iCs w:val="0"/>
          <w:caps w:val="0"/>
          <w:color w:val="07133E"/>
          <w:spacing w:val="5"/>
          <w:sz w:val="16"/>
          <w:szCs w:val="16"/>
        </w:rPr>
        <w:t>角色管理是</w:t>
      </w:r>
      <w:r>
        <w:rPr>
          <w:rFonts w:hint="eastAsia" w:ascii="Segoe UI" w:hAnsi="Segoe UI" w:eastAsia="宋体" w:cs="Segoe UI"/>
          <w:i w:val="0"/>
          <w:iCs w:val="0"/>
          <w:caps w:val="0"/>
          <w:color w:val="07133E"/>
          <w:spacing w:val="5"/>
          <w:sz w:val="16"/>
          <w:szCs w:val="16"/>
          <w:lang w:val="en-US" w:eastAsia="zh-CN"/>
        </w:rPr>
        <w:t>指</w:t>
      </w:r>
      <w:r>
        <w:rPr>
          <w:rFonts w:ascii="Segoe UI" w:hAnsi="Segoe UI" w:eastAsia="Segoe UI" w:cs="Segoe UI"/>
          <w:i w:val="0"/>
          <w:iCs w:val="0"/>
          <w:caps w:val="0"/>
          <w:color w:val="07133E"/>
          <w:spacing w:val="5"/>
          <w:sz w:val="16"/>
          <w:szCs w:val="16"/>
        </w:rPr>
        <w:t>将</w:t>
      </w:r>
      <w:r>
        <w:rPr>
          <w:rFonts w:hint="eastAsia" w:ascii="Segoe UI" w:hAnsi="Segoe UI" w:eastAsia="宋体" w:cs="Segoe UI"/>
          <w:i w:val="0"/>
          <w:iCs w:val="0"/>
          <w:caps w:val="0"/>
          <w:color w:val="07133E"/>
          <w:spacing w:val="5"/>
          <w:sz w:val="16"/>
          <w:szCs w:val="16"/>
          <w:lang w:val="en-US" w:eastAsia="zh-CN"/>
        </w:rPr>
        <w:t>系统的功能</w:t>
      </w:r>
      <w:r>
        <w:rPr>
          <w:rFonts w:ascii="Segoe UI" w:hAnsi="Segoe UI" w:eastAsia="Segoe UI" w:cs="Segoe UI"/>
          <w:i w:val="0"/>
          <w:iCs w:val="0"/>
          <w:caps w:val="0"/>
          <w:color w:val="07133E"/>
          <w:spacing w:val="5"/>
          <w:sz w:val="16"/>
          <w:szCs w:val="16"/>
        </w:rPr>
        <w:t>和权限分配给不同的角色，从而有效地管理和协调各种工作任务。</w:t>
      </w:r>
      <w:r>
        <w:rPr>
          <w:rFonts w:hint="eastAsia" w:ascii="Segoe UI" w:hAnsi="Segoe UI" w:eastAsia="宋体" w:cs="Segoe UI"/>
          <w:i w:val="0"/>
          <w:iCs w:val="0"/>
          <w:caps w:val="0"/>
          <w:color w:val="07133E"/>
          <w:spacing w:val="5"/>
          <w:sz w:val="16"/>
          <w:szCs w:val="16"/>
          <w:lang w:val="en-US" w:eastAsia="zh-CN"/>
        </w:rPr>
        <w:t>主要包含新增、编辑、删除以及配置菜单权限、配置操作权限。</w:t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7" w:name="_Toc23437"/>
      <w:r>
        <w:rPr>
          <w:rFonts w:hint="eastAsia"/>
          <w:lang w:val="en-US" w:eastAsia="zh-CN"/>
        </w:rPr>
        <w:t>1.2.2操作说明</w:t>
      </w:r>
      <w:bookmarkEnd w:id="7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用户中心》权限管理》角色管理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5273040" cy="1960245"/>
            <wp:effectExtent l="0" t="0" r="1016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8" w:name="_Toc17194"/>
      <w:r>
        <w:rPr>
          <w:rFonts w:hint="eastAsia"/>
          <w:lang w:val="en-US" w:eastAsia="zh-CN"/>
        </w:rPr>
        <w:t>1.2.3功能说明</w:t>
      </w:r>
      <w:bookmarkEnd w:id="8"/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1.2.3.1新增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点击新增按钮，弹出新增角色提示框，输入角色编码、角色名称，点击确定，新增成功。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3848100" cy="2032000"/>
            <wp:effectExtent l="0" t="0" r="0" b="0"/>
            <wp:docPr id="8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1.2.3.2编辑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点击编辑按钮，弹出编辑角色提示框，输入角色编码、角色名称，点击确定，编辑成功。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3966845" cy="1625600"/>
            <wp:effectExtent l="0" t="0" r="0" b="0"/>
            <wp:docPr id="8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rcRect l="1622" b="52060"/>
                    <a:stretch>
                      <a:fillRect/>
                    </a:stretch>
                  </pic:blipFill>
                  <pic:spPr>
                    <a:xfrm>
                      <a:off x="0" y="0"/>
                      <a:ext cx="3966845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1.2.3.3删除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点击删除按钮，弹出操作确认提示框，点击确定，系统校验该角色是否绑定用户，若绑定则无法删除，若未绑定，则可以删除成功。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267200" cy="1644650"/>
            <wp:effectExtent l="0" t="0" r="0" b="6350"/>
            <wp:docPr id="9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6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1.2.3.4配置菜单权限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点击配置菜单权限按钮，弹出菜单配置提示框，勾选对应的菜单，点击确定，配置成功。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3905250" cy="5797550"/>
            <wp:effectExtent l="0" t="0" r="6350" b="6350"/>
            <wp:docPr id="9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579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1.2.3.5配置操作权限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点击配置操作权限按钮，弹出权限配置提示框，勾选对应的菜单，点击确定，配置成功。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3771900" cy="5765800"/>
            <wp:effectExtent l="0" t="0" r="0" b="0"/>
            <wp:docPr id="9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1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576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</w:p>
    <w:p>
      <w:pPr>
        <w:pStyle w:val="3"/>
        <w:bidi w:val="0"/>
        <w:outlineLvl w:val="1"/>
        <w:rPr>
          <w:rFonts w:hint="eastAsia"/>
          <w:lang w:val="en-US" w:eastAsia="zh-CN"/>
        </w:rPr>
      </w:pPr>
      <w:bookmarkStart w:id="9" w:name="_Toc13107"/>
      <w:r>
        <w:rPr>
          <w:rFonts w:hint="eastAsia"/>
          <w:lang w:val="en-US" w:eastAsia="zh-CN"/>
        </w:rPr>
        <w:t>1.3.员工管理</w:t>
      </w:r>
      <w:bookmarkEnd w:id="9"/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10" w:name="_Toc23594"/>
      <w:r>
        <w:rPr>
          <w:rFonts w:hint="eastAsia"/>
          <w:lang w:val="en-US" w:eastAsia="zh-CN"/>
        </w:rPr>
        <w:t>1.3.1功能介绍</w:t>
      </w:r>
      <w:bookmarkEnd w:id="10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员工管理是为了管理后台运营用户账号的功能，主要包含：新增、编辑、删除及配置角色。</w:t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11" w:name="_Toc27906"/>
      <w:r>
        <w:rPr>
          <w:rFonts w:hint="eastAsia"/>
          <w:lang w:val="en-US" w:eastAsia="zh-CN"/>
        </w:rPr>
        <w:t>1.3.2操作说明</w:t>
      </w:r>
      <w:bookmarkEnd w:id="11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用户中心》组织架构》员工管理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5268595" cy="1959610"/>
            <wp:effectExtent l="0" t="0" r="1905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12" w:name="_Toc29297"/>
      <w:r>
        <w:rPr>
          <w:rFonts w:hint="eastAsia"/>
          <w:lang w:val="en-US" w:eastAsia="zh-CN"/>
        </w:rPr>
        <w:t>1.3.3功能说明</w:t>
      </w:r>
      <w:bookmarkEnd w:id="12"/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1.3.3.1新增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点击新增按钮，弹出新增员工提示框，输入必填字段，点击确定，新增成功。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175250" cy="2755900"/>
            <wp:effectExtent l="0" t="0" r="6350" b="0"/>
            <wp:docPr id="9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75250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1.3.3.2编辑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点击编辑按钮，弹出编辑员工提示框，输入必填字段，点击确定，编辑成功。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105400" cy="2736850"/>
            <wp:effectExtent l="0" t="0" r="0" b="6350"/>
            <wp:docPr id="9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1.3.3.3删除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点击删除按钮，弹出操作确认提示框，点击确定，删除成功。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2672080"/>
            <wp:effectExtent l="0" t="0" r="12065" b="7620"/>
            <wp:docPr id="9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1.3.3.4配置角色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点击配置角色按钮，弹出配置角色提示框，勾选对应的菜单，点击确定，配置成功。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2622550" cy="5835650"/>
            <wp:effectExtent l="0" t="0" r="6350" b="6350"/>
            <wp:docPr id="9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22550" cy="583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0"/>
        </w:numPr>
        <w:bidi w:val="0"/>
        <w:outlineLvl w:val="1"/>
        <w:rPr>
          <w:rFonts w:hint="eastAsia"/>
          <w:lang w:val="en-US" w:eastAsia="zh-CN"/>
        </w:rPr>
      </w:pPr>
      <w:bookmarkStart w:id="13" w:name="_Toc26793"/>
      <w:r>
        <w:rPr>
          <w:rFonts w:hint="eastAsia"/>
          <w:lang w:val="en-US" w:eastAsia="zh-CN"/>
        </w:rPr>
        <w:t>1.4.部门管理</w:t>
      </w:r>
      <w:bookmarkEnd w:id="13"/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14" w:name="_Toc10017"/>
      <w:r>
        <w:rPr>
          <w:rFonts w:hint="eastAsia"/>
          <w:lang w:val="en-US" w:eastAsia="zh-CN"/>
        </w:rPr>
        <w:t>1.4.1功能介绍</w:t>
      </w:r>
      <w:bookmarkEnd w:id="14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部门管理是配置该运营公司组织架构，主要包含：新增、编辑、删除及部门分组。</w:t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15" w:name="_Toc10826"/>
      <w:r>
        <w:rPr>
          <w:rFonts w:hint="eastAsia"/>
          <w:lang w:val="en-US" w:eastAsia="zh-CN"/>
        </w:rPr>
        <w:t>1.4.2操作说明</w:t>
      </w:r>
      <w:bookmarkEnd w:id="15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用户中心》组织架构》部门管理</w:t>
      </w:r>
    </w:p>
    <w:p/>
    <w:p>
      <w:r>
        <w:drawing>
          <wp:inline distT="0" distB="0" distL="114300" distR="114300">
            <wp:extent cx="5270500" cy="1549400"/>
            <wp:effectExtent l="0" t="0" r="0" b="0"/>
            <wp:docPr id="9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16" w:name="_Toc16205"/>
      <w:r>
        <w:rPr>
          <w:rFonts w:hint="eastAsia"/>
          <w:lang w:val="en-US" w:eastAsia="zh-CN"/>
        </w:rPr>
        <w:t>1.4.3功能说明</w:t>
      </w:r>
      <w:bookmarkEnd w:id="16"/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1.4.3.1新增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点击新增按钮，弹出新增一级部门提示框，输入必填字段，点击确定，新增成功。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2571750" cy="1924050"/>
            <wp:effectExtent l="0" t="0" r="6350" b="6350"/>
            <wp:docPr id="10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1.4.3.2编辑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点击编辑按钮，弹出编辑一级部门提示框，输入必填字段，点击确定，编辑成功。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2540000" cy="1905000"/>
            <wp:effectExtent l="0" t="0" r="0" b="0"/>
            <wp:docPr id="10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1.4.3.3删除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点击删除按钮，弹出操作确认提示框，点击确定，删除成功。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2667000"/>
            <wp:effectExtent l="0" t="0" r="10795" b="0"/>
            <wp:docPr id="10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1.4.3.4配置二级部门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点击新增按钮，弹出新增组织提示，输入必填字段，点击确定，新增成功。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1337945"/>
            <wp:effectExtent l="0" t="0" r="1905" b="8255"/>
            <wp:docPr id="10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3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二级部门支持编辑和删除功能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pStyle w:val="3"/>
        <w:bidi w:val="0"/>
        <w:outlineLvl w:val="1"/>
        <w:rPr>
          <w:rFonts w:hint="eastAsia"/>
          <w:lang w:val="en-US" w:eastAsia="zh-CN"/>
        </w:rPr>
      </w:pPr>
      <w:bookmarkStart w:id="17" w:name="_Toc22076"/>
      <w:r>
        <w:rPr>
          <w:rFonts w:hint="eastAsia"/>
          <w:lang w:val="en-US" w:eastAsia="zh-CN"/>
        </w:rPr>
        <w:t>1.5.国家管理</w:t>
      </w:r>
      <w:bookmarkEnd w:id="17"/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18" w:name="_Toc15162"/>
      <w:r>
        <w:rPr>
          <w:rFonts w:hint="eastAsia"/>
          <w:lang w:val="en-US" w:eastAsia="zh-CN"/>
        </w:rPr>
        <w:t>1.5.1功能介绍</w:t>
      </w:r>
      <w:bookmarkEnd w:id="18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国家管理是指对系统中涉及的国家的数据，进行在线管理。</w:t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19" w:name="_Toc19407"/>
      <w:r>
        <w:rPr>
          <w:rFonts w:hint="eastAsia"/>
          <w:lang w:val="en-US" w:eastAsia="zh-CN"/>
        </w:rPr>
        <w:t>1.5.2操作说明</w:t>
      </w:r>
      <w:bookmarkEnd w:id="19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基础配置》国家管理</w:t>
      </w:r>
    </w:p>
    <w:p>
      <w:r>
        <w:drawing>
          <wp:inline distT="0" distB="0" distL="114300" distR="114300">
            <wp:extent cx="5271135" cy="2054225"/>
            <wp:effectExtent l="0" t="0" r="12065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20" w:name="_Toc25744"/>
      <w:r>
        <w:rPr>
          <w:rFonts w:hint="eastAsia"/>
          <w:lang w:val="en-US" w:eastAsia="zh-CN"/>
        </w:rPr>
        <w:t>1.5.3功能说明</w:t>
      </w:r>
      <w:bookmarkEnd w:id="20"/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1.5.3.1查询国家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支持按国家名称进行查询国家主数据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1464310"/>
            <wp:effectExtent l="0" t="0" r="0" b="8890"/>
            <wp:docPr id="10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2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6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pStyle w:val="3"/>
        <w:bidi w:val="0"/>
        <w:outlineLvl w:val="1"/>
        <w:rPr>
          <w:rFonts w:hint="eastAsia"/>
          <w:lang w:val="en-US" w:eastAsia="zh-CN"/>
        </w:rPr>
      </w:pPr>
      <w:bookmarkStart w:id="21" w:name="_Toc24386"/>
      <w:r>
        <w:rPr>
          <w:rFonts w:hint="eastAsia"/>
          <w:lang w:val="en-US" w:eastAsia="zh-CN"/>
        </w:rPr>
        <w:t>1.6.货币管理</w:t>
      </w:r>
      <w:bookmarkEnd w:id="21"/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22" w:name="_Toc29437"/>
      <w:r>
        <w:rPr>
          <w:rFonts w:hint="eastAsia"/>
          <w:lang w:val="en-US" w:eastAsia="zh-CN"/>
        </w:rPr>
        <w:t>1.6.1功能介绍</w:t>
      </w:r>
      <w:bookmarkEnd w:id="22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货币管理是指系统所有涉及币种主数据进行在线管理 。主要包含新增，编辑、禁用、启用</w:t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23" w:name="_Toc29767"/>
      <w:r>
        <w:rPr>
          <w:rFonts w:hint="eastAsia"/>
          <w:lang w:val="en-US" w:eastAsia="zh-CN"/>
        </w:rPr>
        <w:t>1.6.2操作说明</w:t>
      </w:r>
      <w:bookmarkEnd w:id="23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基础配置》货币管理</w:t>
      </w:r>
    </w:p>
    <w:p/>
    <w:p>
      <w:r>
        <w:drawing>
          <wp:inline distT="0" distB="0" distL="114300" distR="114300">
            <wp:extent cx="5264150" cy="1922780"/>
            <wp:effectExtent l="0" t="0" r="635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24" w:name="_Toc8997"/>
      <w:r>
        <w:rPr>
          <w:rFonts w:hint="eastAsia"/>
          <w:lang w:val="en-US" w:eastAsia="zh-CN"/>
        </w:rPr>
        <w:t>1.6.3功能说明</w:t>
      </w:r>
      <w:bookmarkEnd w:id="24"/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1.6.3.1新增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点击新增按钮，弹出新增货币提示框，输入必填字段，点击确定，新增成功。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3037840" cy="4527550"/>
            <wp:effectExtent l="0" t="0" r="10160" b="6350"/>
            <wp:docPr id="11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2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452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1.6.3.2编辑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点击编辑按钮，弹出编辑货币提示框，输入必填字段，点击确定，编辑成功。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3848100" cy="5810250"/>
            <wp:effectExtent l="0" t="0" r="0" b="6350"/>
            <wp:docPr id="11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1.6.3.3禁用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只有在状态为启用的状态下展示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点击禁用按钮，弹出提示框，点击确定，禁用成功。列表状态改为禁用，操作列表中展示启用按钮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3702050" cy="1758950"/>
            <wp:effectExtent l="0" t="0" r="6350" b="6350"/>
            <wp:docPr id="11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3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0205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1.6.3.4启用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只有在状态为禁用的状态下展示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点击启用按钮，弹出提示框，点击确定，启用成功。列表状态改为启用，操作列表中展示禁用按钮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3594100" cy="1879600"/>
            <wp:effectExtent l="0" t="0" r="0" b="0"/>
            <wp:docPr id="11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941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bidi w:val="0"/>
        <w:jc w:val="both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0"/>
        </w:numPr>
        <w:bidi w:val="0"/>
        <w:outlineLvl w:val="1"/>
        <w:rPr>
          <w:rFonts w:hint="eastAsia"/>
          <w:lang w:val="en-US" w:eastAsia="zh-CN"/>
        </w:rPr>
      </w:pPr>
      <w:bookmarkStart w:id="25" w:name="_Toc1483"/>
      <w:r>
        <w:rPr>
          <w:rFonts w:hint="eastAsia"/>
          <w:lang w:val="en-US" w:eastAsia="zh-CN"/>
        </w:rPr>
        <w:t>1.7运营类目管理</w:t>
      </w:r>
      <w:bookmarkEnd w:id="25"/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26" w:name="_Toc14797"/>
      <w:r>
        <w:rPr>
          <w:rFonts w:hint="eastAsia"/>
          <w:lang w:val="en-US" w:eastAsia="zh-CN"/>
        </w:rPr>
        <w:t>1.7.1功能介绍</w:t>
      </w:r>
      <w:bookmarkEnd w:id="26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运营类目是指管理系统中所有涉及运营类目的主数据。主要包含新增、编辑，启用、禁用等操作</w:t>
      </w:r>
    </w:p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27" w:name="_Toc19675"/>
      <w:r>
        <w:rPr>
          <w:rFonts w:hint="eastAsia"/>
          <w:lang w:val="en-US" w:eastAsia="zh-CN"/>
        </w:rPr>
        <w:t>1.7.2操作说明</w:t>
      </w:r>
      <w:bookmarkEnd w:id="27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基础配置》运营类目</w:t>
      </w:r>
    </w:p>
    <w:p>
      <w:r>
        <w:drawing>
          <wp:inline distT="0" distB="0" distL="114300" distR="114300">
            <wp:extent cx="5273040" cy="2016760"/>
            <wp:effectExtent l="0" t="0" r="1016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1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bidi w:val="0"/>
        <w:outlineLvl w:val="2"/>
        <w:rPr>
          <w:rFonts w:hint="eastAsia"/>
          <w:lang w:val="en-US" w:eastAsia="zh-CN"/>
        </w:rPr>
      </w:pPr>
      <w:bookmarkStart w:id="28" w:name="_Toc32163"/>
      <w:r>
        <w:rPr>
          <w:rFonts w:hint="eastAsia"/>
          <w:lang w:val="en-US" w:eastAsia="zh-CN"/>
        </w:rPr>
        <w:t>1.7.3功能说明</w:t>
      </w:r>
      <w:bookmarkEnd w:id="28"/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1.7.3.1新增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点击新增按钮，弹出新增运营类目提示框，输入必填字段，点击确定，新增成功。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3873500" cy="5784850"/>
            <wp:effectExtent l="0" t="0" r="0" b="6350"/>
            <wp:docPr id="11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3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73500" cy="578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1.7.3.2编辑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点击编辑按钮，弹出编辑</w:t>
      </w:r>
      <w:r>
        <w:rPr>
          <w:rFonts w:ascii="微软雅黑" w:hAnsi="微软雅黑" w:eastAsia="微软雅黑" w:cs="微软雅黑"/>
          <w:i w:val="0"/>
          <w:iCs w:val="0"/>
          <w:caps w:val="0"/>
          <w:color w:val="72767B"/>
          <w:spacing w:val="0"/>
          <w:sz w:val="16"/>
          <w:szCs w:val="16"/>
          <w:shd w:val="clear" w:fill="FFFFFF"/>
        </w:rPr>
        <w:t>运营类目</w:t>
      </w:r>
      <w:r>
        <w:rPr>
          <w:rFonts w:hint="eastAsia"/>
          <w:lang w:val="en-US" w:eastAsia="zh-CN"/>
        </w:rPr>
        <w:t>提示框，输入必填字段，点击确定，编辑成功。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3879850" cy="5921375"/>
            <wp:effectExtent l="0" t="0" r="0" b="0"/>
            <wp:docPr id="11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34"/>
                    <pic:cNvPicPr>
                      <a:picLocks noChangeAspect="1"/>
                    </pic:cNvPicPr>
                  </pic:nvPicPr>
                  <pic:blipFill>
                    <a:blip r:embed="rId33"/>
                    <a:srcRect t="3167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592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1.7.3.3禁用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只有在状态为启用的状态下展示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点击禁用按钮，弹出提示框，点击确定，禁用成功。列表状态改为禁用，操作列表中展示启用按钮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3165475"/>
            <wp:effectExtent l="0" t="0" r="11430" b="9525"/>
            <wp:docPr id="120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3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1.7.3.4启用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只有在状态为禁用的状态下展示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点击启用按钮，弹出提示框，点击确定，启用成功。列表状态改为启用，操作列表中展示禁用按钮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2184400"/>
            <wp:effectExtent l="0" t="0" r="1905" b="0"/>
            <wp:docPr id="12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3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bidi w:val="0"/>
      </w:pPr>
    </w:p>
    <w:p>
      <w:pPr>
        <w:rPr>
          <w:rFonts w:hint="eastAsia"/>
          <w:lang w:val="en-US" w:eastAsia="zh-CN"/>
        </w:rPr>
      </w:pP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29" w:name="_Toc2017"/>
      <w:r>
        <w:rPr>
          <w:rFonts w:hint="eastAsia"/>
          <w:lang w:val="en-US" w:eastAsia="zh-CN"/>
        </w:rPr>
        <w:t>2、渠道商管理</w:t>
      </w:r>
      <w:bookmarkEnd w:id="29"/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30" w:name="_Toc17433"/>
      <w:r>
        <w:rPr>
          <w:rFonts w:hint="eastAsia"/>
          <w:lang w:val="en-US" w:eastAsia="zh-CN"/>
        </w:rPr>
        <w:t>2.1.1功能介绍：</w:t>
      </w:r>
      <w:bookmarkEnd w:id="30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渠道商是支持后台运营人员管理渠道协议、渠道客户，渠道报价单，主要包含：新增协议、添加商品报价单、终止协议以及查看渠道客户。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31" w:name="_Toc11401"/>
      <w:r>
        <w:rPr>
          <w:rFonts w:hint="eastAsia"/>
          <w:lang w:val="en-US" w:eastAsia="zh-CN"/>
        </w:rPr>
        <w:t>2.1.2操作说明</w:t>
      </w:r>
      <w:bookmarkEnd w:id="31"/>
    </w:p>
    <w:p>
      <w:pPr>
        <w:bidi w:val="0"/>
      </w:pPr>
      <w:r>
        <w:rPr>
          <w:rFonts w:hint="eastAsia"/>
          <w:lang w:val="en-US" w:eastAsia="zh-CN"/>
        </w:rPr>
        <w:t>用户中心》渠道商管理》账号管理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1976755"/>
            <wp:effectExtent l="0" t="0" r="3175" b="4445"/>
            <wp:docPr id="12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3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7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32" w:name="_Toc21025"/>
      <w:r>
        <w:rPr>
          <w:rFonts w:hint="eastAsia"/>
          <w:lang w:val="en-US" w:eastAsia="zh-CN"/>
        </w:rPr>
        <w:t>2.1.3功能说明</w:t>
      </w:r>
      <w:bookmarkEnd w:id="32"/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33" w:name="_Toc25102"/>
      <w:r>
        <w:rPr>
          <w:rFonts w:hint="eastAsia"/>
          <w:lang w:val="en-US" w:eastAsia="zh-CN"/>
        </w:rPr>
        <w:t>2.1.3.1渠道账户管理</w:t>
      </w:r>
      <w:bookmarkEnd w:id="33"/>
    </w:p>
    <w:p>
      <w:pPr>
        <w:numPr>
          <w:ilvl w:val="0"/>
          <w:numId w:val="0"/>
        </w:numPr>
        <w:ind w:leftChars="0"/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运营人员登录运营平台后，点击菜单【用户中心-渠道商管理-账户管理】，进入账户管理列表界面，列表展示所有渠道商和代理商协议数据</w:t>
      </w:r>
    </w:p>
    <w:p>
      <w:pPr>
        <w:numPr>
          <w:ilvl w:val="0"/>
          <w:numId w:val="0"/>
        </w:numPr>
        <w:ind w:leftChars="0"/>
        <w:rPr>
          <w:rFonts w:hint="default"/>
          <w:b w:val="0"/>
          <w:bCs/>
          <w:lang w:val="en-US" w:eastAsia="zh-CN"/>
        </w:rPr>
      </w:pPr>
      <w:r>
        <w:drawing>
          <wp:inline distT="0" distB="0" distL="114300" distR="114300">
            <wp:extent cx="5263515" cy="2446020"/>
            <wp:effectExtent l="0" t="0" r="6985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425" w:leftChars="0" w:hanging="425" w:firstLineChars="0"/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新增协议</w:t>
      </w:r>
    </w:p>
    <w:p>
      <w:pPr>
        <w:numPr>
          <w:ilvl w:val="0"/>
          <w:numId w:val="0"/>
        </w:numPr>
        <w:ind w:leftChars="0"/>
        <w:rPr>
          <w:rFonts w:hint="default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点击【新增协议】按钮，进入新增协议界面，输入公司对应的信息；其中‘账号信息’内输入的信息为该渠道商/代理商后续登录账号信息；合作信息模式-合作方式选择当前公司的合作模式为渠道商/代理商。</w:t>
      </w:r>
    </w:p>
    <w:p>
      <w:pPr>
        <w:numPr>
          <w:ilvl w:val="0"/>
          <w:numId w:val="0"/>
        </w:numPr>
        <w:ind w:leftChars="0"/>
        <w:rPr>
          <w:rFonts w:hint="default"/>
          <w:b w:val="0"/>
          <w:bCs/>
          <w:lang w:val="en-US" w:eastAsia="zh-CN"/>
        </w:rPr>
      </w:pPr>
      <w:r>
        <w:drawing>
          <wp:inline distT="0" distB="0" distL="114300" distR="114300">
            <wp:extent cx="5267325" cy="2416175"/>
            <wp:effectExtent l="0" t="0" r="317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425" w:leftChars="0" w:hanging="425" w:firstLineChars="0"/>
        <w:rPr>
          <w:rFonts w:hint="default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同步商品</w:t>
      </w:r>
    </w:p>
    <w:p>
      <w:pPr>
        <w:numPr>
          <w:ilvl w:val="0"/>
          <w:numId w:val="0"/>
        </w:numPr>
        <w:ind w:leftChars="0"/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运营人员在发布新商品后，点击【同步商品】按钮来同步对应的商品信息</w:t>
      </w:r>
    </w:p>
    <w:p>
      <w:pPr>
        <w:numPr>
          <w:ilvl w:val="0"/>
          <w:numId w:val="0"/>
        </w:numPr>
        <w:ind w:leftChars="0"/>
        <w:rPr>
          <w:rFonts w:hint="default"/>
          <w:b w:val="0"/>
          <w:bCs/>
          <w:lang w:val="en-US" w:eastAsia="zh-CN"/>
        </w:rPr>
      </w:pPr>
      <w:r>
        <w:drawing>
          <wp:inline distT="0" distB="0" distL="114300" distR="114300">
            <wp:extent cx="5272405" cy="2449830"/>
            <wp:effectExtent l="0" t="0" r="10795" b="12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3）添加协议商品</w:t>
      </w:r>
    </w:p>
    <w:p>
      <w:pPr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运营人员已进入账户管理列表界面，点击列表中已生效状态数据操作列【添加商品】按钮，进入添加商品界面</w:t>
      </w:r>
    </w:p>
    <w:p>
      <w:r>
        <w:drawing>
          <wp:inline distT="0" distB="0" distL="114300" distR="114300">
            <wp:extent cx="5272405" cy="2417445"/>
            <wp:effectExtent l="0" t="0" r="10795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1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点击添加商品界面【选择商品】按钮进入选择商品界面</w:t>
      </w:r>
    </w:p>
    <w:p>
      <w:r>
        <w:drawing>
          <wp:inline distT="0" distB="0" distL="114300" distR="114300">
            <wp:extent cx="5260340" cy="2419985"/>
            <wp:effectExtent l="0" t="0" r="10160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1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选择对应的服务商品后点击【确定】按钮，返回到添加商品界面</w:t>
      </w:r>
    </w:p>
    <w:p>
      <w:r>
        <w:drawing>
          <wp:inline distT="0" distB="0" distL="114300" distR="114300">
            <wp:extent cx="5264150" cy="2454275"/>
            <wp:effectExtent l="0" t="0" r="635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在添加商品界面添加渠道商/代理商分销价，点击【保存】按钮将列表商品与对应的渠道商/代理商绑定成功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4310" cy="2343785"/>
            <wp:effectExtent l="0" t="0" r="889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4）终止协议</w:t>
      </w:r>
    </w:p>
    <w:p>
      <w:pPr>
        <w:rPr>
          <w:rFonts w:hint="default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运营人员已进入账户管理列表界面，点击列表中已生效状态数据操作列【终止协议】按钮，弹出终止协议对话框，输入终止说明和终止协议后点击【确定】按钮，该协议状态变更为‘已终止’状态，对应的商品折扣价格也将失效。</w:t>
      </w:r>
    </w:p>
    <w:p>
      <w:r>
        <w:drawing>
          <wp:inline distT="0" distB="0" distL="114300" distR="114300">
            <wp:extent cx="5267325" cy="2393315"/>
            <wp:effectExtent l="0" t="0" r="3175" b="698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34" w:name="_Toc6102"/>
      <w:r>
        <w:rPr>
          <w:rFonts w:hint="eastAsia"/>
          <w:lang w:val="en-US" w:eastAsia="zh-CN"/>
        </w:rPr>
        <w:t>2.1.3.2推广折扣配置</w:t>
      </w:r>
      <w:bookmarkEnd w:id="34"/>
    </w:p>
    <w:p>
      <w:pPr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运营端》用户中心》渠道商管理》推广折扣配置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1897380"/>
            <wp:effectExtent l="0" t="0" r="11430" b="7620"/>
            <wp:docPr id="12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3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客户端》个人中心》推广折扣配置</w:t>
      </w:r>
    </w:p>
    <w:p/>
    <w:p>
      <w:r>
        <w:drawing>
          <wp:inline distT="0" distB="0" distL="114300" distR="114300">
            <wp:extent cx="5262880" cy="1372235"/>
            <wp:effectExtent l="0" t="0" r="7620" b="12065"/>
            <wp:docPr id="125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4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eastAsia="zh-CN"/>
        </w:rPr>
      </w:pPr>
    </w:p>
    <w:p>
      <w:pP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1）渠道商推广码</w:t>
      </w:r>
    </w:p>
    <w:p>
      <w:pPr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渠道商在配置了折扣活动后会生成对应的推广码，运营人员点击菜单【用户中心-渠道商管理-推广折扣配置】，进入推广折扣列表界面</w:t>
      </w:r>
    </w:p>
    <w:p>
      <w:r>
        <w:drawing>
          <wp:inline distT="0" distB="0" distL="114300" distR="114300">
            <wp:extent cx="5265420" cy="2453005"/>
            <wp:effectExtent l="0" t="0" r="5080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2）新增折扣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点击【新增折扣】按钮，进入新增折扣界面，选择对应的渠道及商品其他信息，点击【提交】按钮新增折扣成功。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443480"/>
            <wp:effectExtent l="0" t="0" r="635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3）复制推广链接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点击折扣列表【复制推广链接】按钮提示复制成功，打开任意浏览器右击选择粘贴并转到，会展示客户端注册界面，并且推荐码展示该折扣活动的推广码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325" cy="2407285"/>
            <wp:effectExtent l="0" t="0" r="3175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4）复制推广链接给指定客户，客户点击链接后，打开渠道推广注册链接，进行在线注册。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0340" cy="2442845"/>
            <wp:effectExtent l="0" t="0" r="1016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5）查看注册推广客户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点击折扣列表【注册客户】按钮，进入推广折扣配置-注册客户界面，列表展示通过该推广折扣推广码注册进来的客户数据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2203450"/>
            <wp:effectExtent l="0" t="0" r="317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0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6）可提前终止折扣活动</w:t>
      </w:r>
    </w:p>
    <w:p>
      <w:pPr>
        <w:rPr>
          <w:rFonts w:hint="default"/>
          <w:b w:val="0"/>
          <w:bCs/>
          <w:lang w:val="en-US" w:eastAsia="zh-CN"/>
        </w:rPr>
      </w:pPr>
      <w:r>
        <w:rPr>
          <w:rFonts w:hint="eastAsia"/>
          <w:lang w:val="en-US" w:eastAsia="zh-CN"/>
        </w:rPr>
        <w:t>点击折扣列表【终止活动】按钮，弹出终止原因弹出框，输入对应的内容点击【确定】按钮，该折扣活动变更为已终止状态</w:t>
      </w:r>
      <w:r>
        <w:rPr>
          <w:rFonts w:hint="eastAsia"/>
          <w:b w:val="0"/>
          <w:bCs/>
          <w:lang w:val="en-US" w:eastAsia="zh-CN"/>
        </w:rPr>
        <w:t>，对应的商品折扣价格也将失效。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2436495"/>
            <wp:effectExtent l="0" t="0" r="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3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2.渠道客户管理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073910"/>
            <wp:effectExtent l="0" t="0" r="3810" b="889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7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3.推广折扣配置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5273040" cy="2313305"/>
            <wp:effectExtent l="0" t="0" r="10160" b="10795"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35" w:name="_Toc20167"/>
      <w:r>
        <w:rPr>
          <w:rFonts w:hint="eastAsia"/>
          <w:lang w:val="en-US" w:eastAsia="zh-CN"/>
        </w:rPr>
        <w:t>2.1.3.3渠道客户管理</w:t>
      </w:r>
      <w:bookmarkEnd w:id="35"/>
    </w:p>
    <w:p>
      <w:pPr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查看渠道客户运营端》用户中心》渠道商管理》渠道客户管理</w:t>
      </w:r>
    </w:p>
    <w:p>
      <w:pPr>
        <w:rPr>
          <w:rFonts w:hint="default" w:eastAsiaTheme="minorEastAsia"/>
          <w:lang w:val="en-US" w:eastAsia="zh-CN"/>
        </w:rPr>
      </w:pPr>
    </w:p>
    <w:p>
      <w:r>
        <w:drawing>
          <wp:inline distT="0" distB="0" distL="114300" distR="114300">
            <wp:extent cx="5271135" cy="2101215"/>
            <wp:effectExtent l="0" t="0" r="12065" b="6985"/>
            <wp:docPr id="12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3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客户端》用户中心》我的推荐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1184910"/>
            <wp:effectExtent l="0" t="0" r="8890" b="8890"/>
            <wp:docPr id="12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4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36" w:name="_Toc17997"/>
      <w:r>
        <w:rPr>
          <w:rFonts w:hint="eastAsia"/>
          <w:lang w:val="en-US" w:eastAsia="zh-CN"/>
        </w:rPr>
        <w:t>3、注册登录</w:t>
      </w:r>
      <w:bookmarkEnd w:id="36"/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37" w:name="_Toc23327"/>
      <w:r>
        <w:rPr>
          <w:rFonts w:hint="eastAsia"/>
          <w:lang w:val="en-US" w:eastAsia="zh-CN"/>
        </w:rPr>
        <w:t>3.1.1功能介绍</w:t>
      </w:r>
      <w:bookmarkEnd w:id="37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注册登录：是指系统支持用户注册、登录，忘记密码、记住密码、修改密码以及查看账号信息等功能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38" w:name="_Toc31020"/>
      <w:r>
        <w:rPr>
          <w:rFonts w:hint="eastAsia"/>
          <w:lang w:val="en-US" w:eastAsia="zh-CN"/>
        </w:rPr>
        <w:t>3.1.2操作说明</w:t>
      </w:r>
      <w:bookmarkEnd w:id="38"/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2880" cy="1995170"/>
            <wp:effectExtent l="0" t="0" r="7620" b="11430"/>
            <wp:docPr id="127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4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39" w:name="_Toc23913"/>
      <w:r>
        <w:rPr>
          <w:rFonts w:hint="eastAsia"/>
          <w:lang w:val="en-US" w:eastAsia="zh-CN"/>
        </w:rPr>
        <w:t>3.1.3功能说明</w:t>
      </w:r>
      <w:bookmarkEnd w:id="39"/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40" w:name="_Toc14776"/>
      <w:r>
        <w:rPr>
          <w:rFonts w:hint="eastAsia"/>
          <w:lang w:val="en-US" w:eastAsia="zh-CN"/>
        </w:rPr>
        <w:t>3.1.3.1注册</w:t>
      </w:r>
      <w:bookmarkEnd w:id="40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系统支持手机号码和邮箱进行注册，所有字段必填，AVASaaS用户协议和隐私及信息保护政策必读，点击注册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1.支持手机号码注册</w:t>
      </w:r>
    </w:p>
    <w:p>
      <w:r>
        <w:drawing>
          <wp:inline distT="0" distB="0" distL="114300" distR="114300">
            <wp:extent cx="2444750" cy="3397250"/>
            <wp:effectExtent l="0" t="0" r="6350" b="6350"/>
            <wp:docPr id="128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4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339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2.支持邮箱注册</w:t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489200" cy="3282950"/>
            <wp:effectExtent l="0" t="0" r="0" b="6350"/>
            <wp:docPr id="129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4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32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41" w:name="_Toc32040"/>
      <w:r>
        <w:rPr>
          <w:rFonts w:hint="eastAsia"/>
          <w:lang w:val="en-US" w:eastAsia="zh-CN"/>
        </w:rPr>
        <w:t>3.1.3.2登录</w:t>
      </w:r>
      <w:bookmarkEnd w:id="41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支持微信、短信、账号进行登录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1.微信登录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286000" cy="2825750"/>
            <wp:effectExtent l="0" t="0" r="0" b="6350"/>
            <wp:docPr id="130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4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2.短信登录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241550" cy="2508250"/>
            <wp:effectExtent l="0" t="0" r="6350" b="6350"/>
            <wp:docPr id="13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4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241550" cy="250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3.账号登录</w:t>
      </w:r>
    </w:p>
    <w:p>
      <w:pPr>
        <w:bidi w:val="0"/>
      </w:pPr>
      <w:r>
        <w:drawing>
          <wp:inline distT="0" distB="0" distL="114300" distR="114300">
            <wp:extent cx="2197100" cy="2667000"/>
            <wp:effectExtent l="0" t="0" r="0" b="0"/>
            <wp:docPr id="132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4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42" w:name="_Toc3951"/>
      <w:r>
        <w:rPr>
          <w:rFonts w:hint="eastAsia"/>
          <w:lang w:val="en-US" w:eastAsia="zh-CN"/>
        </w:rPr>
        <w:t>3.1.3.3忘记密码</w:t>
      </w:r>
      <w:bookmarkEnd w:id="42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忘记密码支持手机号和邮箱进行找回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2041525" cy="2219960"/>
            <wp:effectExtent l="0" t="0" r="3175" b="2540"/>
            <wp:docPr id="13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4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041525" cy="221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43" w:name="_Toc20932"/>
      <w:r>
        <w:rPr>
          <w:rFonts w:hint="eastAsia"/>
          <w:lang w:val="en-US" w:eastAsia="zh-CN"/>
        </w:rPr>
        <w:t>3.1.3.4修改密码</w:t>
      </w:r>
      <w:bookmarkEnd w:id="43"/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1398905"/>
            <wp:effectExtent l="0" t="0" r="0" b="0"/>
            <wp:docPr id="13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49"/>
                    <pic:cNvPicPr>
                      <a:picLocks noChangeAspect="1"/>
                    </pic:cNvPicPr>
                  </pic:nvPicPr>
                  <pic:blipFill>
                    <a:blip r:embed="rId64"/>
                    <a:srcRect b="3716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44" w:name="_Toc12916"/>
      <w:r>
        <w:rPr>
          <w:rFonts w:hint="eastAsia"/>
          <w:lang w:val="en-US" w:eastAsia="zh-CN"/>
        </w:rPr>
        <w:t>3.1.3.5基础信息</w:t>
      </w:r>
      <w:bookmarkEnd w:id="44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2052320"/>
            <wp:effectExtent l="0" t="0" r="4445" b="5080"/>
            <wp:docPr id="135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50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45" w:name="_Toc8136"/>
      <w:r>
        <w:rPr>
          <w:rFonts w:hint="eastAsia"/>
          <w:lang w:val="en-US" w:eastAsia="zh-CN"/>
        </w:rPr>
        <w:t>4、工作台</w:t>
      </w:r>
      <w:bookmarkEnd w:id="45"/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46" w:name="_Toc22098"/>
      <w:r>
        <w:rPr>
          <w:rFonts w:hint="eastAsia"/>
          <w:lang w:val="en-US" w:eastAsia="zh-CN"/>
        </w:rPr>
        <w:t>4.1.1功能介绍</w:t>
      </w:r>
      <w:bookmarkEnd w:id="46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工作台是提供一个用于管理用户快捷任务的平台，主要包含快捷入口，待办事项，进度查询、合规日历，意见反馈以及工具箱等。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47" w:name="_Toc28948"/>
      <w:r>
        <w:rPr>
          <w:rFonts w:hint="eastAsia"/>
          <w:lang w:val="en-US" w:eastAsia="zh-CN"/>
        </w:rPr>
        <w:t>4.1.2操作说明</w:t>
      </w:r>
      <w:bookmarkEnd w:id="47"/>
    </w:p>
    <w:p>
      <w:r>
        <w:drawing>
          <wp:inline distT="0" distB="0" distL="114300" distR="114300">
            <wp:extent cx="5269865" cy="2310130"/>
            <wp:effectExtent l="0" t="0" r="635" b="1270"/>
            <wp:docPr id="13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5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48" w:name="_Toc30689"/>
      <w:r>
        <w:rPr>
          <w:rFonts w:hint="eastAsia"/>
          <w:lang w:val="en-US" w:eastAsia="zh-CN"/>
        </w:rPr>
        <w:t>4.1.3功能说明</w:t>
      </w:r>
      <w:bookmarkEnd w:id="48"/>
    </w:p>
    <w:p>
      <w:pPr>
        <w:bidi w:val="0"/>
        <w:outlineLvl w:val="0"/>
        <w:rPr>
          <w:rFonts w:hint="default" w:ascii="微软雅黑" w:hAnsi="微软雅黑" w:eastAsia="微软雅黑" w:cs="微软雅黑"/>
          <w:lang w:val="en-US" w:eastAsia="zh-CN"/>
        </w:rPr>
      </w:pPr>
      <w:bookmarkStart w:id="49" w:name="_Toc26542"/>
      <w:r>
        <w:rPr>
          <w:rFonts w:hint="eastAsia" w:ascii="微软雅黑" w:hAnsi="微软雅黑" w:eastAsia="微软雅黑" w:cs="微软雅黑"/>
          <w:lang w:val="en-US" w:eastAsia="zh-CN"/>
        </w:rPr>
        <w:t>1.快捷入口</w:t>
      </w:r>
      <w:bookmarkEnd w:id="49"/>
    </w:p>
    <w:p>
      <w:p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1）支持</w:t>
      </w:r>
      <w:r>
        <w:rPr>
          <w:rFonts w:hint="default" w:ascii="微软雅黑" w:hAnsi="微软雅黑" w:eastAsia="微软雅黑" w:cs="微软雅黑"/>
          <w:lang w:val="en-US" w:eastAsia="zh-CN"/>
        </w:rPr>
        <w:t>”</w:t>
      </w:r>
      <w:r>
        <w:rPr>
          <w:rFonts w:hint="eastAsia" w:ascii="微软雅黑" w:hAnsi="微软雅黑" w:eastAsia="微软雅黑" w:cs="微软雅黑"/>
          <w:lang w:val="en-US" w:eastAsia="zh-CN"/>
        </w:rPr>
        <w:t>购买服务、公司管理、我的订单、VAT服务、EPR服务、我的信件“快捷入口</w:t>
      </w:r>
    </w:p>
    <w:p>
      <w:p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drawing>
          <wp:inline distT="0" distB="0" distL="114300" distR="114300">
            <wp:extent cx="5271135" cy="311785"/>
            <wp:effectExtent l="0" t="0" r="12065" b="5715"/>
            <wp:docPr id="137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52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2）支持待办事项快捷查看，例如待提交资料、VAT待算税、EPR待申报、待补充资料、待处理信件</w:t>
      </w:r>
    </w:p>
    <w:p>
      <w:pPr>
        <w:bidi w:val="0"/>
      </w:pPr>
      <w:r>
        <w:drawing>
          <wp:inline distT="0" distB="0" distL="114300" distR="114300">
            <wp:extent cx="5268595" cy="2141220"/>
            <wp:effectExtent l="0" t="0" r="1905" b="5080"/>
            <wp:docPr id="138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53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3）支持快速查询服务进度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162550" cy="1614805"/>
            <wp:effectExtent l="0" t="0" r="0" b="0"/>
            <wp:docPr id="140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55"/>
                    <pic:cNvPicPr>
                      <a:picLocks noChangeAspect="1"/>
                    </pic:cNvPicPr>
                  </pic:nvPicPr>
                  <pic:blipFill>
                    <a:blip r:embed="rId69"/>
                    <a:srcRect l="2025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61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outlineLvl w:val="0"/>
        <w:rPr>
          <w:rFonts w:hint="eastAsia" w:ascii="微软雅黑" w:hAnsi="微软雅黑" w:eastAsia="微软雅黑" w:cs="微软雅黑"/>
          <w:lang w:val="en-US" w:eastAsia="zh-CN"/>
        </w:rPr>
      </w:pPr>
      <w:bookmarkStart w:id="50" w:name="_Toc12119"/>
      <w:r>
        <w:rPr>
          <w:rFonts w:hint="eastAsia" w:ascii="微软雅黑" w:hAnsi="微软雅黑" w:eastAsia="微软雅黑" w:cs="微软雅黑"/>
          <w:lang w:val="en-US" w:eastAsia="zh-CN"/>
        </w:rPr>
        <w:t>2.合规日历</w:t>
      </w:r>
      <w:bookmarkEnd w:id="50"/>
    </w:p>
    <w:p>
      <w:p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支持配置合规日历</w:t>
      </w:r>
    </w:p>
    <w:p>
      <w:pPr>
        <w:bidi w:val="0"/>
        <w:rPr>
          <w:rFonts w:hint="default" w:ascii="微软雅黑" w:hAnsi="微软雅黑" w:eastAsia="微软雅黑" w:cs="微软雅黑"/>
          <w:lang w:val="en-US" w:eastAsia="zh-CN"/>
        </w:rPr>
      </w:pPr>
      <w:r>
        <w:drawing>
          <wp:inline distT="0" distB="0" distL="114300" distR="114300">
            <wp:extent cx="2330450" cy="3594100"/>
            <wp:effectExtent l="0" t="0" r="6350" b="0"/>
            <wp:docPr id="139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5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33045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outlineLvl w:val="0"/>
        <w:rPr>
          <w:rFonts w:hint="eastAsia" w:ascii="微软雅黑" w:hAnsi="微软雅黑" w:eastAsia="微软雅黑" w:cs="微软雅黑"/>
          <w:lang w:val="en-US" w:eastAsia="zh-CN"/>
        </w:rPr>
      </w:pPr>
      <w:bookmarkStart w:id="51" w:name="_Toc26651"/>
      <w:r>
        <w:rPr>
          <w:rFonts w:hint="eastAsia" w:ascii="微软雅黑" w:hAnsi="微软雅黑" w:eastAsia="微软雅黑" w:cs="微软雅黑"/>
          <w:lang w:val="en-US" w:eastAsia="zh-CN"/>
        </w:rPr>
        <w:t>3.一键反馈</w:t>
      </w:r>
      <w:bookmarkEnd w:id="51"/>
    </w:p>
    <w:p>
      <w:pPr>
        <w:bidi w:val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支持提交意见反馈</w:t>
      </w:r>
    </w:p>
    <w:p>
      <w:pPr>
        <w:bidi w:val="0"/>
      </w:pPr>
      <w:r>
        <w:drawing>
          <wp:inline distT="0" distB="0" distL="114300" distR="114300">
            <wp:extent cx="5274310" cy="5297170"/>
            <wp:effectExtent l="0" t="0" r="8890" b="11430"/>
            <wp:docPr id="141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5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9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outlineLvl w:val="0"/>
        <w:rPr>
          <w:rFonts w:hint="eastAsia"/>
          <w:lang w:val="en-US" w:eastAsia="zh-CN"/>
        </w:rPr>
      </w:pPr>
      <w:bookmarkStart w:id="52" w:name="_Toc20420"/>
      <w:r>
        <w:rPr>
          <w:rFonts w:hint="eastAsia"/>
          <w:lang w:val="en-US" w:eastAsia="zh-CN"/>
        </w:rPr>
        <w:t>4.工具箱</w:t>
      </w:r>
      <w:bookmarkEnd w:id="52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支持查询VAT税号有效性和EORI有效性</w:t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2457450" cy="2952750"/>
            <wp:effectExtent l="0" t="0" r="6350" b="6350"/>
            <wp:docPr id="142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5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2438400" cy="2933700"/>
            <wp:effectExtent l="0" t="0" r="0" b="0"/>
            <wp:docPr id="143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5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53" w:name="_Toc24412"/>
      <w:r>
        <w:rPr>
          <w:rFonts w:hint="eastAsia"/>
          <w:lang w:val="en-US" w:eastAsia="zh-CN"/>
        </w:rPr>
        <w:t>5、公司管理</w:t>
      </w:r>
      <w:bookmarkEnd w:id="53"/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54" w:name="_Toc10122"/>
      <w:r>
        <w:rPr>
          <w:rFonts w:hint="eastAsia"/>
          <w:lang w:val="en-US" w:eastAsia="zh-CN"/>
        </w:rPr>
        <w:t>5.1.1功能介绍</w:t>
      </w:r>
      <w:bookmarkEnd w:id="54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公司管理是指提供公司主数据的新增、编辑、删除、启用、停用以及查看相关联的VAT、EPR以及EORI信息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55" w:name="_Toc18955"/>
      <w:r>
        <w:rPr>
          <w:rFonts w:hint="eastAsia"/>
          <w:lang w:val="en-US" w:eastAsia="zh-CN"/>
        </w:rPr>
        <w:t>5.1.2操作说明</w:t>
      </w:r>
      <w:bookmarkEnd w:id="55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客户端》个人中心》我的公司</w:t>
      </w:r>
    </w:p>
    <w:p>
      <w:r>
        <w:drawing>
          <wp:inline distT="0" distB="0" distL="114300" distR="114300">
            <wp:extent cx="5262880" cy="1456055"/>
            <wp:effectExtent l="0" t="0" r="7620" b="4445"/>
            <wp:docPr id="144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5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45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56" w:name="_Toc4505"/>
      <w:r>
        <w:rPr>
          <w:rFonts w:hint="eastAsia"/>
          <w:lang w:val="en-US" w:eastAsia="zh-CN"/>
        </w:rPr>
        <w:t>5.1.3功能说明</w:t>
      </w:r>
      <w:bookmarkEnd w:id="56"/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57" w:name="_Toc3371"/>
      <w:r>
        <w:rPr>
          <w:rFonts w:hint="eastAsia"/>
          <w:lang w:val="en-US" w:eastAsia="zh-CN"/>
        </w:rPr>
        <w:t>5.1.3.1批量维护公司信息</w:t>
      </w:r>
      <w:bookmarkEnd w:id="57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支持EXCEL批量维护公司信息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1391285"/>
            <wp:effectExtent l="0" t="0" r="10795" b="5715"/>
            <wp:docPr id="14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6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58" w:name="_Toc17775"/>
      <w:r>
        <w:rPr>
          <w:rFonts w:hint="eastAsia"/>
          <w:lang w:val="en-US" w:eastAsia="zh-CN"/>
        </w:rPr>
        <w:t>5.1.3.2编辑公司信息</w:t>
      </w:r>
      <w:bookmarkEnd w:id="58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支持手工修改公司信息</w:t>
      </w:r>
    </w:p>
    <w:p>
      <w:r>
        <w:drawing>
          <wp:inline distT="0" distB="0" distL="114300" distR="114300">
            <wp:extent cx="5274310" cy="2157730"/>
            <wp:effectExtent l="0" t="0" r="8890" b="1270"/>
            <wp:docPr id="148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6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8595" cy="2717165"/>
            <wp:effectExtent l="0" t="0" r="1905" b="635"/>
            <wp:docPr id="14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6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1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2165985"/>
            <wp:effectExtent l="0" t="0" r="9525" b="5715"/>
            <wp:docPr id="15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6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8595" cy="1784350"/>
            <wp:effectExtent l="0" t="0" r="1905" b="6350"/>
            <wp:docPr id="15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6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59" w:name="_Toc30374"/>
      <w:r>
        <w:rPr>
          <w:rFonts w:hint="eastAsia"/>
          <w:lang w:val="en-US" w:eastAsia="zh-CN"/>
        </w:rPr>
        <w:t>5.1.3.3启用</w:t>
      </w:r>
      <w:bookmarkEnd w:id="59"/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只有在状态为已停用的状态下展示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点击启用按钮，弹出提示框，点击确定，启用成功。列表状态改为启用，操作列表中展示禁用按钮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1374140"/>
            <wp:effectExtent l="0" t="0" r="11430" b="10160"/>
            <wp:docPr id="154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6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7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60" w:name="_Toc1067"/>
      <w:r>
        <w:rPr>
          <w:rFonts w:hint="eastAsia"/>
          <w:lang w:val="en-US" w:eastAsia="zh-CN"/>
        </w:rPr>
        <w:t>5.1.3.4停用</w:t>
      </w:r>
      <w:bookmarkEnd w:id="60"/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只有在状态为使用中的状态下展示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点击禁用按钮，弹出提示框，点击确定，禁用成功。列表状态改为禁用，操作列表中展示启用按钮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1868805"/>
            <wp:effectExtent l="0" t="0" r="2540" b="10795"/>
            <wp:docPr id="153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6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61" w:name="_Toc10896"/>
      <w:r>
        <w:rPr>
          <w:rFonts w:hint="eastAsia"/>
          <w:lang w:val="en-US" w:eastAsia="zh-CN"/>
        </w:rPr>
        <w:t>5.1.3.5删除</w:t>
      </w:r>
      <w:bookmarkEnd w:id="61"/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点击删除按钮，弹出操作确认提示框，点击确定，删除成功。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1375410"/>
            <wp:effectExtent l="0" t="0" r="3175" b="8890"/>
            <wp:docPr id="155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70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1"/>
        <w:rPr>
          <w:rFonts w:hint="default"/>
          <w:lang w:val="en-US" w:eastAsia="zh-CN"/>
        </w:rPr>
      </w:pPr>
      <w:bookmarkStart w:id="62" w:name="_Toc29497"/>
      <w:r>
        <w:rPr>
          <w:rFonts w:hint="eastAsia"/>
          <w:lang w:val="en-US" w:eastAsia="zh-CN"/>
        </w:rPr>
        <w:t>5.1.3.查看公司详情</w:t>
      </w:r>
      <w:bookmarkEnd w:id="62"/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1）公司基础信息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2487930"/>
            <wp:effectExtent l="0" t="0" r="4445" b="1270"/>
            <wp:docPr id="156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7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2）VAT信息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在VAT信息列表主要提供税号信息、VAT服务单、申报义务、VAT申报单、信件信息、付款记录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705485"/>
            <wp:effectExtent l="0" t="0" r="4445" b="5715"/>
            <wp:docPr id="157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7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税号信息</w:t>
      </w:r>
    </w:p>
    <w:p>
      <w:pPr>
        <w:bidi w:val="0"/>
      </w:pPr>
      <w:r>
        <w:drawing>
          <wp:inline distT="0" distB="0" distL="114300" distR="114300">
            <wp:extent cx="5269230" cy="3722370"/>
            <wp:effectExtent l="0" t="0" r="1270" b="11430"/>
            <wp:docPr id="158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73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2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70500" cy="1796415"/>
            <wp:effectExtent l="0" t="0" r="0" b="6985"/>
            <wp:docPr id="159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74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9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73675" cy="1805305"/>
            <wp:effectExtent l="0" t="0" r="9525" b="10795"/>
            <wp:docPr id="160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7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72405" cy="1761490"/>
            <wp:effectExtent l="0" t="0" r="10795" b="3810"/>
            <wp:docPr id="161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7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1654810"/>
            <wp:effectExtent l="0" t="0" r="1270" b="8890"/>
            <wp:docPr id="162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77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5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73040" cy="2148840"/>
            <wp:effectExtent l="0" t="0" r="10160" b="10160"/>
            <wp:docPr id="163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78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3）EPR信息</w:t>
      </w:r>
    </w:p>
    <w:p>
      <w:pPr>
        <w:bidi w:val="0"/>
      </w:pPr>
      <w:r>
        <w:drawing>
          <wp:inline distT="0" distB="0" distL="114300" distR="114300">
            <wp:extent cx="5274310" cy="1353820"/>
            <wp:effectExtent l="0" t="0" r="8890" b="5080"/>
            <wp:docPr id="16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7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71770" cy="4196080"/>
            <wp:effectExtent l="0" t="0" r="11430" b="7620"/>
            <wp:docPr id="165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80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9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69865" cy="1642110"/>
            <wp:effectExtent l="0" t="0" r="635" b="8890"/>
            <wp:docPr id="166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8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64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71770" cy="3177540"/>
            <wp:effectExtent l="0" t="0" r="11430" b="10160"/>
            <wp:docPr id="167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82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66690" cy="1393825"/>
            <wp:effectExtent l="0" t="0" r="3810" b="3175"/>
            <wp:docPr id="168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83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4）EORI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1041400"/>
            <wp:effectExtent l="0" t="0" r="10160" b="0"/>
            <wp:docPr id="171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8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71135" cy="2793365"/>
            <wp:effectExtent l="0" t="0" r="12065" b="635"/>
            <wp:docPr id="169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84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9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63" w:name="_Toc11172"/>
      <w:r>
        <w:rPr>
          <w:rFonts w:hint="eastAsia"/>
          <w:lang w:val="en-US" w:eastAsia="zh-CN"/>
        </w:rPr>
        <w:t>6、商城管理</w:t>
      </w:r>
      <w:bookmarkEnd w:id="63"/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64" w:name="_Toc14689"/>
      <w:r>
        <w:rPr>
          <w:rFonts w:hint="eastAsia"/>
          <w:lang w:val="en-US" w:eastAsia="zh-CN"/>
        </w:rPr>
        <w:t>6.1.1功能介绍</w:t>
      </w:r>
      <w:bookmarkEnd w:id="64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商城管理是指提供商品发布与维护，服务商城在线下单，支付以及生成交易订单、开具发票等操作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65" w:name="_Toc24733"/>
      <w:r>
        <w:rPr>
          <w:rFonts w:hint="eastAsia"/>
          <w:lang w:val="en-US" w:eastAsia="zh-CN"/>
        </w:rPr>
        <w:t>6.1.2操作说明</w:t>
      </w:r>
      <w:bookmarkEnd w:id="65"/>
    </w:p>
    <w:p>
      <w:r>
        <w:drawing>
          <wp:inline distT="0" distB="0" distL="114300" distR="114300">
            <wp:extent cx="5274310" cy="3207385"/>
            <wp:effectExtent l="0" t="0" r="8890" b="5715"/>
            <wp:docPr id="172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87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66" w:name="_Toc22844"/>
      <w:r>
        <w:rPr>
          <w:rFonts w:hint="eastAsia"/>
          <w:lang w:val="en-US" w:eastAsia="zh-CN"/>
        </w:rPr>
        <w:t>6.1.3功能说明</w:t>
      </w:r>
      <w:bookmarkEnd w:id="66"/>
    </w:p>
    <w:p>
      <w:pPr>
        <w:bidi w:val="0"/>
        <w:rPr>
          <w:rFonts w:hint="eastAsia"/>
          <w:lang w:val="en-US" w:eastAsia="zh-CN"/>
        </w:rPr>
      </w:pP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67" w:name="_Toc17749"/>
      <w:r>
        <w:rPr>
          <w:rFonts w:hint="eastAsia"/>
          <w:lang w:val="en-US" w:eastAsia="zh-CN"/>
        </w:rPr>
        <w:t>6.1.3.1.商品管理</w:t>
      </w:r>
      <w:bookmarkEnd w:id="67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1）商品列表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提供查询全部商品查询，新增，编辑，预览，上下架等功能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414270"/>
            <wp:effectExtent l="0" t="0" r="10160" b="11430"/>
            <wp:docPr id="173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88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添加商品</w:t>
      </w:r>
    </w:p>
    <w:p>
      <w:pPr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运营人员进入商城后台管理界面，点击【商品-添加商品】进入添加商品界面</w:t>
      </w:r>
    </w:p>
    <w:p>
      <w:pPr>
        <w:rPr>
          <w:rFonts w:hint="default"/>
          <w:b w:val="0"/>
          <w:bCs/>
          <w:lang w:val="en-US" w:eastAsia="zh-CN"/>
        </w:rPr>
      </w:pPr>
      <w:r>
        <w:drawing>
          <wp:inline distT="0" distB="0" distL="114300" distR="114300">
            <wp:extent cx="5270500" cy="3661410"/>
            <wp:effectExtent l="0" t="0" r="0" b="8890"/>
            <wp:docPr id="175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89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6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点击【下一步】进入维护规格库存界面</w:t>
      </w:r>
    </w:p>
    <w:p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5269230" cy="4008120"/>
            <wp:effectExtent l="0" t="0" r="1270" b="5080"/>
            <wp:docPr id="176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90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0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点击【下一步】进入维护商品详情界面</w:t>
      </w:r>
    </w:p>
    <w:p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5274310" cy="2936875"/>
            <wp:effectExtent l="0" t="0" r="8890" b="9525"/>
            <wp:docPr id="177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9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点击【下一步】进入维护营销设置界面--非必须</w:t>
      </w:r>
    </w:p>
    <w:p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5272405" cy="4206240"/>
            <wp:effectExtent l="0" t="0" r="10795" b="10160"/>
            <wp:docPr id="179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93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0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点击【下一步】进入其他设置界面--非必须</w:t>
      </w:r>
    </w:p>
    <w:p>
      <w:pPr>
        <w:bidi w:val="0"/>
      </w:pPr>
      <w:r>
        <w:drawing>
          <wp:inline distT="0" distB="0" distL="114300" distR="114300">
            <wp:extent cx="5273675" cy="4253865"/>
            <wp:effectExtent l="0" t="0" r="9525" b="635"/>
            <wp:docPr id="178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92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25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保存成功后，返回到商品列表页面，在客户端-服务商城中展示该上架的商品。</w:t>
      </w:r>
    </w:p>
    <w:p>
      <w:pPr>
        <w:pStyle w:val="5"/>
        <w:bidi w:val="0"/>
        <w:outlineLvl w:val="2"/>
        <w:rPr>
          <w:rFonts w:hint="eastAsia"/>
          <w:b/>
          <w:lang w:val="en-US" w:eastAsia="zh-CN"/>
        </w:rPr>
      </w:pPr>
      <w:bookmarkStart w:id="68" w:name="_Toc23643"/>
      <w:r>
        <w:rPr>
          <w:rFonts w:hint="eastAsia"/>
          <w:b/>
          <w:lang w:val="en-US" w:eastAsia="zh-CN"/>
        </w:rPr>
        <w:t>6.1.3.2服务商城管理</w:t>
      </w:r>
      <w:bookmarkEnd w:id="68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1）在“AVA客户端-服务商城“，找到想要购买的服务商品，以“德国-包装法新注册”商品为例，进入商品详情页</w:t>
      </w:r>
    </w:p>
    <w:p>
      <w:pPr>
        <w:bidi w:val="0"/>
      </w:pPr>
      <w:r>
        <w:drawing>
          <wp:inline distT="0" distB="0" distL="114300" distR="114300">
            <wp:extent cx="5267960" cy="3155315"/>
            <wp:effectExtent l="0" t="0" r="2540" b="6985"/>
            <wp:docPr id="180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9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5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rPr>
          <w:rFonts w:hint="eastAsia"/>
          <w:lang w:val="en-US" w:eastAsia="zh-CN"/>
        </w:rPr>
        <w:t>2）在“AVA客户端-服务商城“，点击商品主图，进入商品详情页，</w:t>
      </w:r>
      <w:r>
        <w:drawing>
          <wp:inline distT="0" distB="0" distL="114300" distR="114300">
            <wp:extent cx="5268595" cy="3171825"/>
            <wp:effectExtent l="0" t="0" r="1905" b="3175"/>
            <wp:docPr id="181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9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3）在“AVA客户端-服务商城-商品详情“，选择“立即购买”按钮,弹出选择”其他申报信息”弹框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29510"/>
            <wp:effectExtent l="0" t="0" r="1270" b="8890"/>
            <wp:docPr id="182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96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在”其他申报信息”弹框中选择包装类型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PS:</w:t>
      </w:r>
    </w:p>
    <w:p>
      <w:pPr>
        <w:numPr>
          <w:ilvl w:val="0"/>
          <w:numId w:val="3"/>
        </w:numPr>
        <w:bidi w:val="0"/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此处可以不选填“额外的包装类型”</w:t>
      </w:r>
    </w:p>
    <w:p>
      <w:pPr>
        <w:numPr>
          <w:ilvl w:val="0"/>
          <w:numId w:val="3"/>
        </w:numPr>
        <w:bidi w:val="0"/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点击，系统默认客户选择预设值:“纸/纸板/硬纸  50kg  塑料10kg ”</w:t>
      </w:r>
    </w:p>
    <w:p>
      <w:pPr>
        <w:numPr>
          <w:ilvl w:val="0"/>
          <w:numId w:val="3"/>
        </w:numPr>
        <w:bidi w:val="0"/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此处填写的包装类型将会作为“预申报信息”,进入申报单中</w:t>
      </w:r>
    </w:p>
    <w:p>
      <w:pPr>
        <w:bidi w:val="0"/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4）在“AVA客户端-服务商城“，在”其他申报类型”弹框选择好包装类型后,点击确定,进入”提交订单”页面,核对购买信息,勾选服务协议并阅读,点击”提交订单”按钮  </w:t>
      </w:r>
    </w:p>
    <w:p>
      <w:pPr>
        <w:bidi w:val="0"/>
      </w:pPr>
      <w:r>
        <w:drawing>
          <wp:inline distT="0" distB="0" distL="114300" distR="114300">
            <wp:extent cx="5273675" cy="4121150"/>
            <wp:effectExtent l="0" t="0" r="9525" b="6350"/>
            <wp:docPr id="183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9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12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  <w:lang w:val="en-US" w:eastAsia="zh-CN"/>
        </w:rPr>
        <w:t>5）</w:t>
      </w:r>
      <w:r>
        <w:rPr>
          <w:rFonts w:hint="eastAsia"/>
        </w:rPr>
        <w:t xml:space="preserve">订单提交成功后,选择支付方式，此处以“线下对公转账”为例 </w:t>
      </w:r>
      <w:r>
        <w:rPr>
          <w:rFonts w:hint="eastAsia"/>
          <w:lang w:eastAsia="zh-CN"/>
        </w:rPr>
        <w:t>，</w:t>
      </w:r>
      <w:r>
        <w:rPr>
          <w:rFonts w:hint="eastAsia"/>
        </w:rPr>
        <w:t>付款账户名称及上传凭证必填，点击“确认支付”，系统跳转到订单详情页面</w:t>
      </w:r>
    </w:p>
    <w:p>
      <w:pPr>
        <w:bidi w:val="0"/>
      </w:pP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77205" cy="5235575"/>
            <wp:effectExtent l="0" t="0" r="10795" b="9525"/>
            <wp:docPr id="1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577205" cy="523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6）</w:t>
      </w:r>
      <w:r>
        <w:rPr>
          <w:rFonts w:hint="default"/>
          <w:lang w:val="en-US" w:eastAsia="zh-CN"/>
        </w:rPr>
        <w:t>客户“支付成功”后，在“</w:t>
      </w:r>
      <w:r>
        <w:rPr>
          <w:rFonts w:hint="eastAsia"/>
          <w:lang w:val="en-US" w:eastAsia="zh-CN"/>
        </w:rPr>
        <w:t>客户端-个人中心-我的订单</w:t>
      </w:r>
      <w:r>
        <w:rPr>
          <w:rFonts w:hint="default"/>
          <w:lang w:val="en-US" w:eastAsia="zh-CN"/>
        </w:rPr>
        <w:t>“，找到该订单，点击详情，进入详情页面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3204845"/>
            <wp:effectExtent l="0" t="0" r="12065" b="8255"/>
            <wp:docPr id="189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01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0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pStyle w:val="5"/>
        <w:bidi w:val="0"/>
        <w:outlineLvl w:val="2"/>
        <w:rPr>
          <w:rFonts w:hint="eastAsia"/>
          <w:b/>
          <w:lang w:val="en-US" w:eastAsia="zh-CN"/>
        </w:rPr>
      </w:pPr>
      <w:bookmarkStart w:id="69" w:name="_Toc11723"/>
      <w:r>
        <w:rPr>
          <w:rFonts w:hint="eastAsia"/>
          <w:b/>
          <w:lang w:val="en-US" w:eastAsia="zh-CN"/>
        </w:rPr>
        <w:t>6.1.3.3.交易订单</w:t>
      </w:r>
      <w:bookmarkEnd w:id="69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1）客户“支付成功”后，在“AVA运营平台“，点击“商城管理”菜单，在”订单-订单列表”，找到该订单，点击详情，进入详情页面</w: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64150" cy="2396490"/>
            <wp:effectExtent l="0" t="0" r="6350" b="3810"/>
            <wp:docPr id="186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99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2）客户“支付成功”后，在“AVA运营平台“，点击“商城管理”菜单，在”订单-订单列表”，找到该订单，点击详情，进入详情页面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1、点击”财务审核”，弹出提示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2、点击“确定”，代表订单已支付成功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3、在“AVA客户端-EPR合规管理-包装法“或在“AVA运营平台-EPR服务-EPR服务单“，生成一条待提交的服务单。</w:t>
      </w:r>
    </w:p>
    <w:p>
      <w:pPr>
        <w:bidi w:val="0"/>
      </w:pPr>
      <w:r>
        <w:drawing>
          <wp:inline distT="0" distB="0" distL="114300" distR="114300">
            <wp:extent cx="5029200" cy="4044950"/>
            <wp:effectExtent l="0" t="0" r="0" b="6350"/>
            <wp:docPr id="190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02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404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b/>
          <w:lang w:val="en-US" w:eastAsia="zh-CN"/>
        </w:rPr>
      </w:pPr>
      <w:bookmarkStart w:id="70" w:name="_Toc15525"/>
      <w:r>
        <w:rPr>
          <w:rFonts w:hint="eastAsia"/>
          <w:b/>
          <w:lang w:val="en-US" w:eastAsia="zh-CN"/>
        </w:rPr>
        <w:t>6.1.3.4.售后订单</w:t>
      </w:r>
      <w:bookmarkEnd w:id="70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b/>
          <w:lang w:val="en-US" w:eastAsia="zh-CN"/>
        </w:rPr>
        <w:t>1）</w:t>
      </w:r>
      <w:r>
        <w:rPr>
          <w:rFonts w:hint="default"/>
          <w:lang w:val="en-US" w:eastAsia="zh-CN"/>
        </w:rPr>
        <w:t>在“</w:t>
      </w:r>
      <w:r>
        <w:rPr>
          <w:rFonts w:hint="eastAsia"/>
          <w:lang w:val="en-US" w:eastAsia="zh-CN"/>
        </w:rPr>
        <w:t>客户端-个人中心-我的订单</w:t>
      </w:r>
      <w:r>
        <w:rPr>
          <w:rFonts w:hint="default"/>
          <w:lang w:val="en-US" w:eastAsia="zh-CN"/>
        </w:rPr>
        <w:t>“，</w:t>
      </w:r>
      <w:r>
        <w:rPr>
          <w:rFonts w:hint="eastAsia"/>
          <w:lang w:val="en-US" w:eastAsia="zh-CN"/>
        </w:rPr>
        <w:t>查看全部订单</w:t>
      </w:r>
    </w:p>
    <w:p>
      <w:pPr>
        <w:rPr>
          <w:rFonts w:hint="eastAsia"/>
          <w:b/>
          <w:lang w:val="en-US" w:eastAsia="zh-CN"/>
        </w:rPr>
      </w:pPr>
    </w:p>
    <w:p>
      <w:r>
        <w:drawing>
          <wp:inline distT="0" distB="0" distL="114300" distR="114300">
            <wp:extent cx="5266055" cy="2032635"/>
            <wp:effectExtent l="0" t="0" r="4445" b="12065"/>
            <wp:docPr id="192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04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3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2）</w:t>
      </w:r>
      <w:r>
        <w:rPr>
          <w:rFonts w:hint="default"/>
          <w:lang w:val="en-US" w:eastAsia="zh-CN"/>
        </w:rPr>
        <w:t>在“</w:t>
      </w:r>
      <w:r>
        <w:rPr>
          <w:rFonts w:hint="eastAsia"/>
          <w:lang w:val="en-US" w:eastAsia="zh-CN"/>
        </w:rPr>
        <w:t>客户端-个人中心-我的订单</w:t>
      </w:r>
      <w:r>
        <w:rPr>
          <w:rFonts w:hint="default"/>
          <w:lang w:val="en-US" w:eastAsia="zh-CN"/>
        </w:rPr>
        <w:t>“，找到该订单，点击详情，进入详情页面</w:t>
      </w:r>
    </w:p>
    <w:p>
      <w:pPr>
        <w:rPr>
          <w:rFonts w:hint="eastAsia" w:eastAsiaTheme="minorEastAsia"/>
          <w:lang w:val="en-US" w:eastAsia="zh-CN"/>
        </w:rPr>
      </w:pPr>
    </w:p>
    <w:p/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70500" cy="2273935"/>
            <wp:effectExtent l="0" t="0" r="0" b="12065"/>
            <wp:docPr id="193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05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3）</w:t>
      </w:r>
      <w:r>
        <w:rPr>
          <w:rFonts w:hint="default"/>
          <w:lang w:val="en-US" w:eastAsia="zh-CN"/>
        </w:rPr>
        <w:t>在“</w:t>
      </w:r>
      <w:r>
        <w:rPr>
          <w:rFonts w:hint="eastAsia"/>
          <w:lang w:val="en-US" w:eastAsia="zh-CN"/>
        </w:rPr>
        <w:t>客户端-个人中心-我的订单-订单详情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页面</w:t>
      </w:r>
      <w:r>
        <w:rPr>
          <w:rFonts w:hint="default"/>
          <w:lang w:val="en-US" w:eastAsia="zh-CN"/>
        </w:rPr>
        <w:t>，</w:t>
      </w:r>
      <w:r>
        <w:rPr>
          <w:rFonts w:hint="eastAsia"/>
          <w:lang w:val="en-US" w:eastAsia="zh-CN"/>
        </w:rPr>
        <w:t>点击申请退款，填写退款原因，点击申请退款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4053840"/>
            <wp:effectExtent l="0" t="0" r="9525" b="10160"/>
            <wp:docPr id="194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06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4）在“AVA运营平台“，点击“商城管理”菜单，在”订单-售后订单”，找到该订单，点击详情，查看申请退款原因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5271770" cy="1722755"/>
            <wp:effectExtent l="0" t="0" r="11430" b="4445"/>
            <wp:docPr id="191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03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5）在“AVA运营平台“，点击“商城管理”菜单，在”订单-售后订单”，找到该订单，确认需要退款，可点击立即退款，输入退款金额，点击确认，退款成功</w:t>
      </w:r>
    </w:p>
    <w:p/>
    <w:p>
      <w:r>
        <w:drawing>
          <wp:inline distT="0" distB="0" distL="114300" distR="114300">
            <wp:extent cx="5219700" cy="2279650"/>
            <wp:effectExtent l="0" t="0" r="0" b="6350"/>
            <wp:docPr id="195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07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在“AVA运营平台“，点击“商城管理”菜单，在”订单-售后订单-订单详情”，可在订单详情中上传售后水单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040" cy="2014855"/>
            <wp:effectExtent l="0" t="0" r="10160" b="4445"/>
            <wp:docPr id="196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08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1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在“</w:t>
      </w:r>
      <w:r>
        <w:rPr>
          <w:rFonts w:hint="eastAsia"/>
          <w:lang w:val="en-US" w:eastAsia="zh-CN"/>
        </w:rPr>
        <w:t>客户端-个人中心-我的订单-订单详情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页面</w:t>
      </w:r>
      <w:r>
        <w:rPr>
          <w:rFonts w:hint="default"/>
          <w:lang w:val="en-US" w:eastAsia="zh-CN"/>
        </w:rPr>
        <w:t>，</w:t>
      </w:r>
      <w:r>
        <w:rPr>
          <w:rFonts w:hint="eastAsia"/>
          <w:lang w:val="en-US" w:eastAsia="zh-CN"/>
        </w:rPr>
        <w:t>查看退款水单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3932555"/>
            <wp:effectExtent l="0" t="0" r="1270" b="4445"/>
            <wp:docPr id="197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09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3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b/>
          <w:lang w:val="en-US" w:eastAsia="zh-CN"/>
        </w:rPr>
      </w:pPr>
      <w:bookmarkStart w:id="71" w:name="_Toc29319"/>
      <w:r>
        <w:rPr>
          <w:rFonts w:hint="eastAsia"/>
          <w:b/>
          <w:lang w:val="en-US" w:eastAsia="zh-CN"/>
        </w:rPr>
        <w:t>6.1.3.5.发票管理</w:t>
      </w:r>
      <w:bookmarkEnd w:id="71"/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1)</w:t>
      </w:r>
      <w:r>
        <w:rPr>
          <w:rFonts w:hint="default"/>
          <w:lang w:val="en-US" w:eastAsia="zh-CN"/>
        </w:rPr>
        <w:t>在“</w:t>
      </w:r>
      <w:r>
        <w:rPr>
          <w:rFonts w:hint="eastAsia"/>
          <w:lang w:val="en-US" w:eastAsia="zh-CN"/>
        </w:rPr>
        <w:t>客户端-个人中心-我的发票-申请开票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页面</w:t>
      </w:r>
      <w:r>
        <w:rPr>
          <w:rFonts w:hint="default"/>
          <w:lang w:val="en-US" w:eastAsia="zh-CN"/>
        </w:rPr>
        <w:t>，</w:t>
      </w:r>
      <w:r>
        <w:rPr>
          <w:rFonts w:hint="eastAsia"/>
          <w:lang w:val="en-US" w:eastAsia="zh-CN"/>
        </w:rPr>
        <w:t>选择已支付的订单号</w:t>
      </w:r>
    </w:p>
    <w:p>
      <w:pPr>
        <w:rPr>
          <w:rFonts w:hint="eastAsia"/>
          <w:b/>
          <w:lang w:val="en-US" w:eastAsia="zh-CN"/>
        </w:rPr>
      </w:pPr>
    </w:p>
    <w:p>
      <w:pPr>
        <w:rPr>
          <w:rFonts w:hint="default" w:eastAsiaTheme="minorEastAsia"/>
          <w:b/>
          <w:lang w:val="en-US" w:eastAsia="zh-CN"/>
        </w:rPr>
      </w:pPr>
      <w:r>
        <w:drawing>
          <wp:inline distT="0" distB="0" distL="114300" distR="114300">
            <wp:extent cx="5273040" cy="2889885"/>
            <wp:effectExtent l="0" t="0" r="10160" b="5715"/>
            <wp:docPr id="198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10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2)点击选择抬头，查看发票信息，若不存在发票信息，则选择新增，</w:t>
      </w:r>
    </w:p>
    <w:p>
      <w:pPr>
        <w:bidi w:val="0"/>
      </w:pPr>
      <w:r>
        <w:drawing>
          <wp:inline distT="0" distB="0" distL="114300" distR="114300">
            <wp:extent cx="5272405" cy="2155190"/>
            <wp:effectExtent l="0" t="0" r="10795" b="3810"/>
            <wp:docPr id="199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11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3)新增发票抬头成功后，点击使用，确认勾选订单后，点击确定，申请开票成功。</w:t>
      </w:r>
    </w:p>
    <w:p>
      <w:pPr>
        <w:bidi w:val="0"/>
      </w:pPr>
      <w:r>
        <w:drawing>
          <wp:inline distT="0" distB="0" distL="114300" distR="114300">
            <wp:extent cx="5273675" cy="2717800"/>
            <wp:effectExtent l="0" t="0" r="9525" b="0"/>
            <wp:docPr id="200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12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4)在“AVA运营平台“，点击“商城管理”菜单，在”财务-发票管理-发票列表”，找到相对应的发票订单</w:t>
      </w:r>
    </w:p>
    <w:p>
      <w:pPr>
        <w:bidi w:val="0"/>
      </w:pPr>
      <w:r>
        <w:drawing>
          <wp:inline distT="0" distB="0" distL="114300" distR="114300">
            <wp:extent cx="5273675" cy="2013585"/>
            <wp:effectExtent l="0" t="0" r="9525" b="5715"/>
            <wp:docPr id="201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13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5)在发票订单列表中，点击编辑，选择适合的开票状态，点击确定</w:t>
      </w:r>
    </w:p>
    <w:p>
      <w:pPr>
        <w:bidi w:val="0"/>
      </w:pPr>
      <w:r>
        <w:drawing>
          <wp:inline distT="0" distB="0" distL="114300" distR="114300">
            <wp:extent cx="4241800" cy="3975100"/>
            <wp:effectExtent l="0" t="0" r="0" b="0"/>
            <wp:docPr id="203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15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241800" cy="397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6)</w:t>
      </w:r>
      <w:r>
        <w:rPr>
          <w:rFonts w:hint="default"/>
          <w:lang w:val="en-US" w:eastAsia="zh-CN"/>
        </w:rPr>
        <w:t>在“</w:t>
      </w:r>
      <w:r>
        <w:rPr>
          <w:rFonts w:hint="eastAsia"/>
          <w:lang w:val="en-US" w:eastAsia="zh-CN"/>
        </w:rPr>
        <w:t>客户端-个人中心-我的发票-已开票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页面</w:t>
      </w:r>
      <w:r>
        <w:rPr>
          <w:rFonts w:hint="default"/>
          <w:lang w:val="en-US" w:eastAsia="zh-CN"/>
        </w:rPr>
        <w:t>，</w:t>
      </w:r>
      <w:r>
        <w:rPr>
          <w:rFonts w:hint="eastAsia"/>
          <w:lang w:val="en-US" w:eastAsia="zh-CN"/>
        </w:rPr>
        <w:t>查看已经开票的信息，您可以进行发票下载，查看发票详情，重新开票以及上传红冲申请。</w:t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1963420"/>
            <wp:effectExtent l="0" t="0" r="10795" b="5080"/>
            <wp:docPr id="205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117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6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72" w:name="_Toc9661"/>
      <w:r>
        <w:rPr>
          <w:rFonts w:hint="eastAsia"/>
          <w:lang w:val="en-US" w:eastAsia="zh-CN"/>
        </w:rPr>
        <w:t>7、VAT管理</w:t>
      </w:r>
      <w:bookmarkEnd w:id="72"/>
    </w:p>
    <w:p>
      <w:pPr>
        <w:bidi w:val="0"/>
        <w:rPr>
          <w:rFonts w:hint="eastAsia"/>
          <w:lang w:val="en-US" w:eastAsia="zh-CN"/>
        </w:rPr>
      </w:pP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73" w:name="_Toc22774"/>
      <w:r>
        <w:rPr>
          <w:rFonts w:hint="eastAsia"/>
          <w:lang w:val="en-US" w:eastAsia="zh-CN"/>
        </w:rPr>
        <w:t>7.1.1功能介绍</w:t>
      </w:r>
      <w:bookmarkEnd w:id="73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VAT管理：是指针对VAT报税业务进行在线管理。主要包含VAT服务单管理、VAT税号管理以及VAT申报管理。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74" w:name="_Toc13929"/>
      <w:r>
        <w:rPr>
          <w:rFonts w:hint="eastAsia"/>
          <w:lang w:val="en-US" w:eastAsia="zh-CN"/>
        </w:rPr>
        <w:t>7.1.2操作说明</w:t>
      </w:r>
      <w:bookmarkEnd w:id="74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VAT服务》VAT服务单</w:t>
      </w:r>
    </w:p>
    <w:p/>
    <w:p>
      <w:r>
        <w:drawing>
          <wp:inline distT="0" distB="0" distL="114300" distR="114300">
            <wp:extent cx="5270500" cy="2093595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bookmarkStart w:id="75" w:name="_Toc24490"/>
      <w:r>
        <w:rPr>
          <w:rFonts w:hint="eastAsia"/>
          <w:lang w:val="en-US" w:eastAsia="zh-CN"/>
        </w:rPr>
        <w:t>7.1.3功能说明</w:t>
      </w:r>
      <w:bookmarkEnd w:id="75"/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76" w:name="_Toc27211"/>
      <w:r>
        <w:rPr>
          <w:rFonts w:hint="eastAsia"/>
          <w:lang w:val="en-US" w:eastAsia="zh-CN"/>
        </w:rPr>
        <w:t>7.1.3.1 VAT服务单列表</w:t>
      </w:r>
      <w:bookmarkEnd w:id="76"/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1）用户购买VAT服务商品支付成功后，会自动生成对应的VAT服务单，VAT服务单列表展示当前登录用户的所有VAT服务单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1610" cy="2482215"/>
            <wp:effectExtent l="0" t="0" r="8890" b="698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【查询】列表支持服务单号、国家、公司名称、状态及创建时间条件查询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3515" cy="2390140"/>
            <wp:effectExtent l="0" t="0" r="6985" b="10160"/>
            <wp:docPr id="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9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2）提交资料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点击VAT服务单列表中任意一待提交资料按钮，进入提交资料界面，用户输入对应的资料内容点击提交后该服务单变更为AVA审核状态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70500" cy="2496185"/>
            <wp:effectExtent l="0" t="0" r="0" b="571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3）AVA审核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【AVA审核服务单数据展示】运营人员登录运营端，进入VAT管理-VAT服务单列表，点击AVA审核tab标签，列表展示所有AVA审核状态服务单数据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5420" cy="2409190"/>
            <wp:effectExtent l="0" t="0" r="5080" b="381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【AVA审核】运营人员点击‘审核’按钮，进入服务单审核界面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3515" cy="2416175"/>
            <wp:effectExtent l="0" t="0" r="6985" b="952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点击‘审核通过’按钮，进入审核意见填写界面，填写对应的资料，点击‘确认’按钮，审核通过，该VAT服务单变更为‘处理中’状态</w:t>
      </w:r>
    </w:p>
    <w:p>
      <w:p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7325" cy="2429510"/>
            <wp:effectExtent l="0" t="0" r="3175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4）递交税局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【处理中服务单数据展示】运营人员登录运营端，进入VAT管理-VAT服务单列表，点击处理中tab标签，列表展示所有处理中状态服务单数据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73675" cy="2469515"/>
            <wp:effectExtent l="0" t="0" r="9525" b="698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【递交税局】运营人员点击‘递交税局’按钮，进入填写递交税局资料界面，填写对应的资料，点击‘确认’按钮，该VAT服务单变更为‘税局审核中’状态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5420" cy="2392680"/>
            <wp:effectExtent l="0" t="0" r="5080" b="762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5）完成服务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【税局审核中服务单数据展示】运营人员登录运营端，进入VAT管理-VAT服务单列表，点击税局审核中tab标签，列表展示所有状态为税局审核中服务单数据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8595" cy="2442210"/>
            <wp:effectExtent l="0" t="0" r="1905" b="889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4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【完成服务】运营人员点击‘完成服务’按钮，进入服务单完成服务资料填写界面，填写对应的资料，点击‘确认’按钮，该VAT服务单变更为‘已完成’状态，同时生成申报义务（除英国以外）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7325" cy="2466340"/>
            <wp:effectExtent l="0" t="0" r="3175" b="1016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【已完成服务单数据展示】运营人员登录运营端，进入VAT管理-VAT服务单列表，点击已完成tab标签，列表展示所有状态为已完成中服务单数据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8595" cy="2435860"/>
            <wp:effectExtent l="0" t="0" r="1905" b="254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77" w:name="_Toc5545"/>
      <w:r>
        <w:rPr>
          <w:rFonts w:hint="eastAsia"/>
          <w:lang w:val="en-US" w:eastAsia="zh-CN"/>
        </w:rPr>
        <w:t>7.1.3.2 VAT税号</w:t>
      </w:r>
      <w:bookmarkEnd w:id="77"/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1）点击VAT服务-VAT税号菜单，列表展示当前登录用户所有公司的VAT税号数据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73675" cy="2429510"/>
            <wp:effectExtent l="0" t="0" r="9525" b="889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【查询】服务单列表支持税号、国家、公司名称、状态及服务结束日期条件查询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9230" cy="2407285"/>
            <wp:effectExtent l="0" t="0" r="1270" b="5715"/>
            <wp:docPr id="7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查看税号资料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点击‘查看税号资料’按钮，进入税号详情界面，展示当前税号详情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73040" cy="2336800"/>
            <wp:effectExtent l="0" t="0" r="1016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78" w:name="_Toc22139"/>
      <w:r>
        <w:rPr>
          <w:rFonts w:hint="eastAsia"/>
          <w:lang w:val="en-US" w:eastAsia="zh-CN"/>
        </w:rPr>
        <w:t>7.1.3.3 VAT申报管理</w:t>
      </w:r>
      <w:bookmarkEnd w:id="78"/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【申报管理列表】点击VAT服务-VAT申报菜单，点击‘申报管理’tab按钮，列表展示当前登录用户所有公司的申报管理数据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5420" cy="2403475"/>
            <wp:effectExtent l="0" t="0" r="508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【查询】列表支持国家、公司名称条件查询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4785" cy="2447925"/>
            <wp:effectExtent l="0" t="0" r="5715" b="3175"/>
            <wp:docPr id="7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基本信息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点击‘基本信息’按钮，进入该公司基本信息界面，列表展示该公司基本信息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230" cy="1957070"/>
            <wp:effectExtent l="0" t="0" r="1270" b="1143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5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2）申报义务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点击‘申报义务’按钮，进入该公司申报义务界面，列表展示该公司所有的申报义务。</w:t>
      </w:r>
    </w:p>
    <w:p>
      <w:pPr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69230" cy="2186305"/>
            <wp:effectExtent l="0" t="0" r="1270" b="10795"/>
            <wp:docPr id="9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3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3）历史申报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点击操作列‘历史申报’按钮，进入该公司历史申报列表界面，列表展示该公司所有历史申报数据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7325" cy="2369820"/>
            <wp:effectExtent l="0" t="0" r="317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4）成本价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点击操作列‘成本价’按钮，进入该公司成本价列表界面，列表展示该公司所有成本价数据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9230" cy="2487295"/>
            <wp:effectExtent l="0" t="0" r="127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税局信件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点击操作列‘税局信件’按钮，进入该公司税局信件列表界面，列表展示该公司所有税局信件数据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1610" cy="215455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47"/>
                    <a:srcRect t="779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79" w:name="_Toc30647"/>
      <w:r>
        <w:rPr>
          <w:rFonts w:hint="eastAsia"/>
          <w:lang w:val="en-US" w:eastAsia="zh-CN"/>
        </w:rPr>
        <w:t>7.1.3.4 VAT申报</w:t>
      </w:r>
      <w:bookmarkEnd w:id="79"/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1）点击VAT服务-VAT申报，列表展示VAT申报数据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5420" cy="2270125"/>
            <wp:effectExtent l="0" t="0" r="0" b="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148"/>
                    <a:srcRect t="77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【查询】列表支持国家、公司名称、申报税号、申报类型、申报状态、申报单号、人工核算等条件查询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73675" cy="2303780"/>
            <wp:effectExtent l="0" t="0" r="0" b="0"/>
            <wp:docPr id="7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5"/>
                    <pic:cNvPicPr>
                      <a:picLocks noChangeAspect="1"/>
                    </pic:cNvPicPr>
                  </pic:nvPicPr>
                  <pic:blipFill>
                    <a:blip r:embed="rId149"/>
                    <a:srcRect t="849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0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br w:type="page"/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2）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零申报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点击待算税数据操作列‘零申报’按钮，该条申报数据进行零申报操作，申报状态更改为待申报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0975" cy="2276475"/>
            <wp:effectExtent l="0" t="0" r="0" b="0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150"/>
                    <a:srcRect t="784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3）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算税申报-提交资料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点击待算税数据操作列‘算税申报’按钮，进入提交资料界面；</w:t>
      </w: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5420" cy="2242185"/>
            <wp:effectExtent l="0" t="0" r="0" b="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151"/>
                    <a:srcRect t="859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填写资料后点击计算税金按钮展示算税后的结果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0340" cy="2419985"/>
            <wp:effectExtent l="0" t="0" r="10160" b="5715"/>
            <wp:docPr id="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1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4）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提交申报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点击算税结果界面‘提交申报’按钮，提交申报成功，申报状态变更为‘申报中’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789805" cy="200469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53"/>
                    <a:srcRect t="7609"/>
                    <a:stretch>
                      <a:fillRect/>
                    </a:stretch>
                  </pic:blipFill>
                  <pic:spPr>
                    <a:xfrm>
                      <a:off x="0" y="0"/>
                      <a:ext cx="4789805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5）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人工核算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运营人员登录后，进入VAT管理-VAT申报列表，点击待申报数据‘转人工’按钮，该申报数据变更为人工核算状态</w:t>
      </w: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br w:type="page"/>
      </w: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0340" cy="2026285"/>
            <wp:effectExtent l="0" t="0" r="0" b="0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154"/>
                    <a:srcRect t="1463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1"/>
          <w:szCs w:val="21"/>
          <w:lang w:val="en-US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6）运营人员点击‘重新算税’按钮，进入提交资料界面，输入对应的信息后进行重新算税</w:t>
      </w: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824095" cy="2167890"/>
            <wp:effectExtent l="0" t="0" r="1905" b="3810"/>
            <wp:docPr id="7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824095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074285" cy="2000250"/>
            <wp:effectExtent l="0" t="0" r="0" b="0"/>
            <wp:docPr id="7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"/>
                    <pic:cNvPicPr>
                      <a:picLocks noChangeAspect="1"/>
                    </pic:cNvPicPr>
                  </pic:nvPicPr>
                  <pic:blipFill>
                    <a:blip r:embed="rId156"/>
                    <a:srcRect t="14542"/>
                    <a:stretch>
                      <a:fillRect/>
                    </a:stretch>
                  </pic:blipFill>
                  <pic:spPr>
                    <a:xfrm>
                      <a:off x="0" y="0"/>
                      <a:ext cx="507428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7)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递交税局申报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运营人员点击申报中状态申报数据的‘递交税局’按钮，提交递交税局操作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903470" cy="1971675"/>
            <wp:effectExtent l="0" t="0" r="11430" b="9525"/>
            <wp:docPr id="8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"/>
                    <pic:cNvPicPr>
                      <a:picLocks noChangeAspect="1"/>
                    </pic:cNvPicPr>
                  </pic:nvPicPr>
                  <pic:blipFill>
                    <a:blip r:embed="rId157"/>
                    <a:srcRect t="14627"/>
                    <a:stretch>
                      <a:fillRect/>
                    </a:stretch>
                  </pic:blipFill>
                  <pic:spPr>
                    <a:xfrm>
                      <a:off x="0" y="0"/>
                      <a:ext cx="490347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8)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上传申报回执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运营人员点击已提交税局状态申报数据的‘上传申报回执’按钮，填写对应的信息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7325" cy="2409825"/>
            <wp:effectExtent l="0" t="0" r="3175" b="3175"/>
            <wp:docPr id="8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9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br w:type="page"/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9)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查看申报回执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客户端用户登录后点击未完税状态申报数据的‘查看申报回执’按钮自动下再申报回执附件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5420" cy="2287270"/>
            <wp:effectExtent l="0" t="0" r="5080" b="11430"/>
            <wp:docPr id="8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0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10)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查看应缴税信息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客户端用户登录后点击未完税状态申报数据的‘查看应缴税信息’按钮弹出应缴税信息内容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70500" cy="2440305"/>
            <wp:effectExtent l="0" t="0" r="0" b="10795"/>
            <wp:docPr id="8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1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sz w:val="21"/>
          <w:szCs w:val="21"/>
          <w:lang w:val="en-US" w:eastAsia="zh-CN"/>
        </w:rPr>
        <w:t>11)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上传完税凭证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sz w:val="21"/>
          <w:szCs w:val="21"/>
          <w:lang w:val="en-US" w:eastAsia="zh-CN"/>
        </w:rPr>
        <w:t>客户端用户登录后点击未完税状态申报数据的‘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上传完税凭证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sz w:val="21"/>
          <w:szCs w:val="21"/>
          <w:lang w:val="en-US" w:eastAsia="zh-CN"/>
        </w:rPr>
        <w:t>’按钮弹出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上传完税凭证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界面，上传成功后该申报数据变更为已完成状态</w:t>
      </w: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8595" cy="1807210"/>
            <wp:effectExtent l="0" t="0" r="0" b="0"/>
            <wp:docPr id="8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2"/>
                    <pic:cNvPicPr>
                      <a:picLocks noChangeAspect="1"/>
                    </pic:cNvPicPr>
                  </pic:nvPicPr>
                  <pic:blipFill>
                    <a:blip r:embed="rId161"/>
                    <a:srcRect b="2498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12)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【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终止申报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】</w:t>
      </w:r>
    </w:p>
    <w:p>
      <w:pPr>
        <w:jc w:val="left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点击申报单列表操作列‘终止申报’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sz w:val="21"/>
          <w:szCs w:val="21"/>
          <w:lang w:val="en-US" w:eastAsia="zh-CN"/>
        </w:rPr>
        <w:t>按钮，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该申报数据变更为已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终止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状态</w:t>
      </w:r>
    </w:p>
    <w:p>
      <w:pPr>
        <w:bidi w:val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264150" cy="2306955"/>
            <wp:effectExtent l="0" t="0" r="0" b="0"/>
            <wp:docPr id="8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3"/>
                    <pic:cNvPicPr>
                      <a:picLocks noChangeAspect="1"/>
                    </pic:cNvPicPr>
                  </pic:nvPicPr>
                  <pic:blipFill>
                    <a:blip r:embed="rId162"/>
                    <a:srcRect t="81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80" w:name="_Toc15772"/>
      <w:r>
        <w:rPr>
          <w:rFonts w:hint="eastAsia"/>
          <w:lang w:val="en-US" w:eastAsia="zh-CN"/>
        </w:rPr>
        <w:t>7.1.3.5 汇率</w:t>
      </w:r>
      <w:bookmarkEnd w:id="80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配置VAT申报时计算的汇率，仅运营端可见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2183765"/>
            <wp:effectExtent l="0" t="0" r="2540" b="635"/>
            <wp:docPr id="9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4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lang w:val="en-US" w:eastAsia="zh-CN"/>
        </w:rPr>
      </w:pPr>
      <w:bookmarkStart w:id="81" w:name="_Toc1858"/>
      <w:r>
        <w:rPr>
          <w:rFonts w:hint="eastAsia"/>
          <w:lang w:val="en-US" w:eastAsia="zh-CN"/>
        </w:rPr>
        <w:t>7.1.3.6 申报义务</w:t>
      </w:r>
      <w:bookmarkEnd w:id="81"/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查看全部的申报义务，仅运营端可见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216150"/>
            <wp:effectExtent l="0" t="0" r="5080" b="6350"/>
            <wp:docPr id="10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5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82" w:name="_Toc17725"/>
      <w:r>
        <w:rPr>
          <w:rFonts w:hint="eastAsia"/>
          <w:lang w:val="en-US" w:eastAsia="zh-CN"/>
        </w:rPr>
        <w:t>8、ERP合规管理</w:t>
      </w:r>
      <w:bookmarkEnd w:id="82"/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83" w:name="_Toc13238"/>
      <w:r>
        <w:rPr>
          <w:rFonts w:hint="eastAsia"/>
          <w:lang w:val="en-US" w:eastAsia="zh-CN"/>
        </w:rPr>
        <w:t>8.1.1功能介绍</w:t>
      </w:r>
      <w:bookmarkEnd w:id="83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。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84" w:name="_Toc17275"/>
      <w:r>
        <w:rPr>
          <w:rFonts w:hint="eastAsia"/>
          <w:lang w:val="en-US" w:eastAsia="zh-CN"/>
        </w:rPr>
        <w:t>8.1.2操作说明</w:t>
      </w:r>
      <w:bookmarkEnd w:id="84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EPR合规管理》EPR服务单</w:t>
      </w:r>
    </w:p>
    <w:p/>
    <w:p>
      <w:r>
        <w:drawing>
          <wp:inline distT="0" distB="0" distL="114300" distR="114300">
            <wp:extent cx="5271770" cy="2204085"/>
            <wp:effectExtent l="0" t="0" r="11430" b="5715"/>
            <wp:docPr id="10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6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0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85" w:name="_Toc17738"/>
      <w:r>
        <w:rPr>
          <w:rFonts w:hint="eastAsia"/>
          <w:lang w:val="en-US" w:eastAsia="zh-CN"/>
        </w:rPr>
        <w:t>8.1.3功能说明</w:t>
      </w:r>
      <w:bookmarkEnd w:id="85"/>
    </w:p>
    <w:p>
      <w:pPr>
        <w:pStyle w:val="5"/>
        <w:bidi w:val="0"/>
        <w:outlineLvl w:val="2"/>
        <w:rPr>
          <w:rFonts w:hint="eastAsia" w:asciiTheme="minorEastAsia" w:hAnsiTheme="minorEastAsia"/>
          <w:lang w:val="en-US" w:eastAsia="zh-CN"/>
        </w:rPr>
      </w:pPr>
      <w:bookmarkStart w:id="86" w:name="_Toc9334"/>
      <w:r>
        <w:rPr>
          <w:rFonts w:hint="eastAsia"/>
          <w:lang w:val="en-US" w:eastAsia="zh-CN"/>
        </w:rPr>
        <w:t>8.1.3.1 EPR服务单列表</w:t>
      </w:r>
      <w:bookmarkEnd w:id="86"/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1）用户购买EPR服务商品支付成功后，会自动生成对应的EPR服务单，EPR服务单列表展示当前登录用户的所有EPR服务单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0500" cy="2423795"/>
            <wp:effectExtent l="0" t="0" r="0" b="1905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2）提交资料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点击</w:t>
      </w:r>
      <w:r>
        <w:rPr>
          <w:rFonts w:hint="eastAsia" w:asciiTheme="minorEastAsia" w:hAnsiTheme="minorEastAsia"/>
          <w:lang w:val="en-US" w:eastAsia="zh-CN"/>
        </w:rPr>
        <w:t>EPR</w:t>
      </w:r>
      <w:r>
        <w:rPr>
          <w:rFonts w:hint="eastAsia" w:ascii="宋体" w:hAnsi="宋体" w:eastAsia="宋体" w:cs="宋体"/>
          <w:lang w:val="en-US" w:eastAsia="zh-CN"/>
        </w:rPr>
        <w:t>服务单列表中任意一待提交资料按钮，进入提交资料界面，用户输入对应的资料内容点击提交后该服务单变更为AVA审核状态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drawing>
          <wp:inline distT="0" distB="0" distL="114300" distR="114300">
            <wp:extent cx="5260340" cy="2466340"/>
            <wp:effectExtent l="0" t="0" r="10160" b="10160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3） AVA审核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AVA审核服务单数据展示</w:t>
      </w:r>
      <w:r>
        <w:rPr>
          <w:rFonts w:hint="eastAsia" w:ascii="宋体" w:hAnsi="宋体" w:eastAsia="宋体" w:cs="宋体"/>
          <w:lang w:val="en-US" w:eastAsia="zh-CN"/>
        </w:rPr>
        <w:t>】运营人员登录运营端，进入EPR服务-</w:t>
      </w:r>
      <w:r>
        <w:rPr>
          <w:rFonts w:hint="eastAsia" w:asciiTheme="minorEastAsia" w:hAnsiTheme="minorEastAsia"/>
          <w:lang w:val="en-US" w:eastAsia="zh-CN"/>
        </w:rPr>
        <w:t>EPR服务单列表，点击AVA审核tab标签，列表展示所有AVA审核状态服务单数据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325" cy="2459355"/>
            <wp:effectExtent l="0" t="0" r="3175" b="444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AVA审核</w:t>
      </w:r>
      <w:r>
        <w:rPr>
          <w:rFonts w:hint="eastAsia"/>
          <w:lang w:val="en-US" w:eastAsia="zh-CN"/>
        </w:rPr>
        <w:t>】运营人员点击‘审核’按钮，进入服务单审核界面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0975" cy="2483485"/>
            <wp:effectExtent l="0" t="0" r="9525" b="5715"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8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点击‘完成审核’按钮，进入审核意见填写界面，填写对应的资料，点击‘确认’按钮，审核通过，该EPR服务单变更为‘处理中’状态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2442845"/>
            <wp:effectExtent l="0" t="0" r="0" b="8255"/>
            <wp:docPr id="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4）递交组织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处理中服务单数据展示</w:t>
      </w:r>
      <w:r>
        <w:rPr>
          <w:rFonts w:hint="eastAsia" w:ascii="宋体" w:hAnsi="宋体" w:eastAsia="宋体" w:cs="宋体"/>
          <w:lang w:val="en-US" w:eastAsia="zh-CN"/>
        </w:rPr>
        <w:t>】运营人员登录运营端，进入EPR管理-</w:t>
      </w:r>
      <w:r>
        <w:rPr>
          <w:rFonts w:hint="eastAsia" w:asciiTheme="minorEastAsia" w:hAnsiTheme="minorEastAsia"/>
          <w:lang w:val="en-US" w:eastAsia="zh-CN"/>
        </w:rPr>
        <w:t>EPR服务单列表，点击处理中tab标签，列表展示所有处理中状态服务单数据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lang w:val="en-US" w:eastAsia="zh-CN"/>
        </w:rPr>
      </w:pPr>
      <w:r>
        <w:drawing>
          <wp:inline distT="0" distB="0" distL="114300" distR="114300">
            <wp:extent cx="5264150" cy="2457450"/>
            <wp:effectExtent l="0" t="0" r="6350" b="6350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</w:t>
      </w:r>
      <w:r>
        <w:rPr>
          <w:rFonts w:hint="eastAsia" w:ascii="宋体" w:hAnsi="宋体" w:eastAsia="宋体" w:cs="宋体"/>
          <w:lang w:val="en-US" w:eastAsia="zh-CN"/>
        </w:rPr>
        <w:t>递交组织审核</w:t>
      </w:r>
      <w:r>
        <w:rPr>
          <w:rFonts w:hint="eastAsia"/>
          <w:lang w:val="en-US" w:eastAsia="zh-CN"/>
        </w:rPr>
        <w:t>】运营人员点击‘</w:t>
      </w:r>
      <w:r>
        <w:rPr>
          <w:rFonts w:hint="eastAsia" w:ascii="宋体" w:hAnsi="宋体" w:eastAsia="宋体" w:cs="宋体"/>
          <w:lang w:val="en-US" w:eastAsia="zh-CN"/>
        </w:rPr>
        <w:t>递交材料</w:t>
      </w:r>
      <w:r>
        <w:rPr>
          <w:rFonts w:hint="eastAsia"/>
          <w:lang w:val="en-US" w:eastAsia="zh-CN"/>
        </w:rPr>
        <w:t>’按钮，进入</w:t>
      </w:r>
      <w:r>
        <w:rPr>
          <w:rFonts w:hint="eastAsia" w:ascii="宋体" w:hAnsi="宋体" w:eastAsia="宋体" w:cs="宋体"/>
          <w:lang w:val="en-US" w:eastAsia="zh-CN"/>
        </w:rPr>
        <w:t>递交组织选择</w:t>
      </w:r>
      <w:r>
        <w:rPr>
          <w:rFonts w:hint="eastAsia"/>
          <w:lang w:val="en-US" w:eastAsia="zh-CN"/>
        </w:rPr>
        <w:t>界面，选择对应的组织，点击‘确认’按钮，该EPR服务单变更为‘</w:t>
      </w:r>
      <w:r>
        <w:rPr>
          <w:rFonts w:hint="eastAsia" w:ascii="宋体" w:hAnsi="宋体" w:eastAsia="宋体" w:cs="宋体"/>
          <w:lang w:val="en-US" w:eastAsia="zh-CN"/>
        </w:rPr>
        <w:t>组织审核中</w:t>
      </w:r>
      <w:r>
        <w:rPr>
          <w:rFonts w:hint="eastAsia"/>
          <w:lang w:val="en-US" w:eastAsia="zh-CN"/>
        </w:rPr>
        <w:t>’状态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1610" cy="2435860"/>
            <wp:effectExtent l="0" t="0" r="8890" b="2540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2397125"/>
            <wp:effectExtent l="0" t="0" r="8255" b="3175"/>
            <wp:docPr id="4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5）完成服务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【组织审核中</w:t>
      </w:r>
      <w:r>
        <w:rPr>
          <w:rFonts w:hint="eastAsia" w:asciiTheme="minorEastAsia" w:hAnsiTheme="minorEastAsia"/>
          <w:lang w:val="en-US" w:eastAsia="zh-CN"/>
        </w:rPr>
        <w:t>服务单数据展示</w:t>
      </w:r>
      <w:r>
        <w:rPr>
          <w:rFonts w:hint="eastAsia" w:ascii="宋体" w:hAnsi="宋体" w:eastAsia="宋体" w:cs="宋体"/>
          <w:lang w:val="en-US" w:eastAsia="zh-CN"/>
        </w:rPr>
        <w:t>】运营人员登录运营端，进入EPR管理-</w:t>
      </w:r>
      <w:r>
        <w:rPr>
          <w:rFonts w:hint="eastAsia" w:asciiTheme="minorEastAsia" w:hAnsiTheme="minorEastAsia"/>
          <w:lang w:val="en-US" w:eastAsia="zh-CN"/>
        </w:rPr>
        <w:t>EPR服务单列表，点击</w:t>
      </w:r>
      <w:r>
        <w:rPr>
          <w:rFonts w:hint="eastAsia" w:ascii="宋体" w:hAnsi="宋体" w:eastAsia="宋体" w:cs="宋体"/>
          <w:lang w:val="en-US" w:eastAsia="zh-CN"/>
        </w:rPr>
        <w:t>组织审核中</w:t>
      </w:r>
      <w:r>
        <w:rPr>
          <w:rFonts w:hint="eastAsia" w:asciiTheme="minorEastAsia" w:hAnsiTheme="minorEastAsia"/>
          <w:lang w:val="en-US" w:eastAsia="zh-CN"/>
        </w:rPr>
        <w:t>tab标签，列表展示所有状态为</w:t>
      </w:r>
      <w:r>
        <w:rPr>
          <w:rFonts w:hint="eastAsia" w:ascii="宋体" w:hAnsi="宋体" w:eastAsia="宋体" w:cs="宋体"/>
          <w:lang w:val="en-US" w:eastAsia="zh-CN"/>
        </w:rPr>
        <w:t>组织审核中</w:t>
      </w:r>
      <w:r>
        <w:rPr>
          <w:rFonts w:hint="eastAsia" w:asciiTheme="minorEastAsia" w:hAnsiTheme="minorEastAsia"/>
          <w:lang w:val="en-US" w:eastAsia="zh-CN"/>
        </w:rPr>
        <w:t>服务单数据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lang w:val="en-US" w:eastAsia="zh-CN"/>
        </w:rPr>
      </w:pPr>
      <w:r>
        <w:drawing>
          <wp:inline distT="0" distB="0" distL="114300" distR="114300">
            <wp:extent cx="5274310" cy="2432050"/>
            <wp:effectExtent l="0" t="0" r="8890" b="6350"/>
            <wp:docPr id="4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0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</w:t>
      </w:r>
      <w:r>
        <w:rPr>
          <w:rFonts w:hint="eastAsia" w:ascii="宋体" w:hAnsi="宋体" w:eastAsia="宋体" w:cs="宋体"/>
          <w:lang w:val="en-US" w:eastAsia="zh-CN"/>
        </w:rPr>
        <w:t>完成服务</w:t>
      </w:r>
      <w:r>
        <w:rPr>
          <w:rFonts w:hint="eastAsia"/>
          <w:lang w:val="en-US" w:eastAsia="zh-CN"/>
        </w:rPr>
        <w:t>】运营人员点击‘</w:t>
      </w:r>
      <w:r>
        <w:rPr>
          <w:rFonts w:hint="eastAsia" w:ascii="宋体" w:hAnsi="宋体" w:eastAsia="宋体" w:cs="宋体"/>
          <w:lang w:val="en-US" w:eastAsia="zh-CN"/>
        </w:rPr>
        <w:t>完成服务</w:t>
      </w:r>
      <w:r>
        <w:rPr>
          <w:rFonts w:hint="eastAsia"/>
          <w:lang w:val="en-US" w:eastAsia="zh-CN"/>
        </w:rPr>
        <w:t>’按钮，进入服务单</w:t>
      </w:r>
      <w:r>
        <w:rPr>
          <w:rFonts w:hint="eastAsia" w:ascii="宋体" w:hAnsi="宋体" w:eastAsia="宋体" w:cs="宋体"/>
          <w:lang w:val="en-US" w:eastAsia="zh-CN"/>
        </w:rPr>
        <w:t>完成服务资料</w:t>
      </w:r>
      <w:r>
        <w:rPr>
          <w:rFonts w:hint="eastAsia"/>
          <w:lang w:val="en-US" w:eastAsia="zh-CN"/>
        </w:rPr>
        <w:t>填写界面，填写对应的资料，点击‘确认’按钮，该EPR服务单变更为‘已完成’状态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2523490"/>
            <wp:effectExtent l="0" t="0" r="8890" b="3810"/>
            <wp:docPr id="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1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2466340"/>
            <wp:effectExtent l="0" t="0" r="3175" b="10160"/>
            <wp:docPr id="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hint="default" w:asciiTheme="minorEastAsia" w:hAnsiTheme="minorEastAsia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【已完成</w:t>
      </w:r>
      <w:r>
        <w:rPr>
          <w:rFonts w:hint="eastAsia" w:asciiTheme="minorEastAsia" w:hAnsiTheme="minorEastAsia"/>
          <w:lang w:val="en-US" w:eastAsia="zh-CN"/>
        </w:rPr>
        <w:t>服务单数据展示</w:t>
      </w:r>
      <w:r>
        <w:rPr>
          <w:rFonts w:hint="eastAsia" w:ascii="宋体" w:hAnsi="宋体" w:eastAsia="宋体" w:cs="宋体"/>
          <w:lang w:val="en-US" w:eastAsia="zh-CN"/>
        </w:rPr>
        <w:t>】运营人员登录运营端，进入EPR管理-</w:t>
      </w:r>
      <w:r>
        <w:rPr>
          <w:rFonts w:hint="eastAsia" w:asciiTheme="minorEastAsia" w:hAnsiTheme="minorEastAsia"/>
          <w:lang w:val="en-US" w:eastAsia="zh-CN"/>
        </w:rPr>
        <w:t>EPR服务单列表，点击</w:t>
      </w:r>
      <w:r>
        <w:rPr>
          <w:rFonts w:hint="eastAsia" w:ascii="宋体" w:hAnsi="宋体" w:eastAsia="宋体" w:cs="宋体"/>
          <w:lang w:val="en-US" w:eastAsia="zh-CN"/>
        </w:rPr>
        <w:t>已完成</w:t>
      </w:r>
      <w:r>
        <w:rPr>
          <w:rFonts w:hint="eastAsia" w:asciiTheme="minorEastAsia" w:hAnsiTheme="minorEastAsia"/>
          <w:lang w:val="en-US" w:eastAsia="zh-CN"/>
        </w:rPr>
        <w:t>tab标签，列表展示所有状态为</w:t>
      </w:r>
      <w:r>
        <w:rPr>
          <w:rFonts w:hint="eastAsia" w:ascii="宋体" w:hAnsi="宋体" w:eastAsia="宋体" w:cs="宋体"/>
          <w:lang w:val="en-US" w:eastAsia="zh-CN"/>
        </w:rPr>
        <w:t>已完成中</w:t>
      </w:r>
      <w:r>
        <w:rPr>
          <w:rFonts w:hint="eastAsia" w:asciiTheme="minorEastAsia" w:hAnsiTheme="minorEastAsia"/>
          <w:lang w:val="en-US" w:eastAsia="zh-CN"/>
        </w:rPr>
        <w:t>服务单数据，同时根据申报规则生成申报义务。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lang w:val="en-US" w:eastAsia="zh-CN"/>
        </w:rPr>
      </w:pPr>
      <w:r>
        <w:drawing>
          <wp:inline distT="0" distB="0" distL="114300" distR="114300">
            <wp:extent cx="5274310" cy="2477135"/>
            <wp:effectExtent l="0" t="0" r="8890" b="12065"/>
            <wp:docPr id="4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3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pStyle w:val="5"/>
        <w:bidi w:val="0"/>
        <w:outlineLvl w:val="2"/>
        <w:rPr>
          <w:rFonts w:hint="default" w:ascii="宋体" w:hAnsi="宋体" w:eastAsia="宋体" w:cs="宋体"/>
          <w:lang w:val="en-US" w:eastAsia="zh-CN"/>
        </w:rPr>
      </w:pPr>
      <w:bookmarkStart w:id="87" w:name="_Toc12633"/>
      <w:r>
        <w:rPr>
          <w:rFonts w:hint="eastAsia"/>
          <w:lang w:val="en-US" w:eastAsia="zh-CN"/>
        </w:rPr>
        <w:t>8.1.3.2 EPR注册号</w:t>
      </w:r>
      <w:bookmarkEnd w:id="87"/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【EPR注册号列表】点击EPR</w:t>
      </w:r>
      <w:r>
        <w:rPr>
          <w:rFonts w:hint="eastAsia" w:asciiTheme="minorEastAsia" w:hAnsiTheme="minorEastAsia"/>
          <w:lang w:val="en-US" w:eastAsia="zh-CN"/>
        </w:rPr>
        <w:t>服务</w:t>
      </w:r>
      <w:r>
        <w:rPr>
          <w:rFonts w:hint="eastAsia" w:ascii="宋体" w:hAnsi="宋体" w:eastAsia="宋体" w:cs="宋体"/>
          <w:lang w:val="en-US" w:eastAsia="zh-CN"/>
        </w:rPr>
        <w:t>-</w:t>
      </w:r>
      <w:r>
        <w:rPr>
          <w:rFonts w:hint="eastAsia" w:asciiTheme="minorEastAsia" w:hAnsiTheme="minorEastAsia"/>
          <w:lang w:val="en-US" w:eastAsia="zh-CN"/>
        </w:rPr>
        <w:t>EPR</w:t>
      </w:r>
      <w:r>
        <w:rPr>
          <w:rFonts w:hint="eastAsia" w:ascii="宋体" w:hAnsi="宋体" w:eastAsia="宋体" w:cs="宋体"/>
          <w:lang w:val="en-US" w:eastAsia="zh-CN"/>
        </w:rPr>
        <w:t>注册号菜单，列表展示当前登录用户所有公司的EPR注册号数据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0340" cy="2467610"/>
            <wp:effectExtent l="0" t="0" r="10160" b="8890"/>
            <wp:docPr id="4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4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查看资料</w:t>
      </w:r>
      <w:r>
        <w:rPr>
          <w:rFonts w:hint="eastAsia"/>
          <w:lang w:eastAsia="zh-CN"/>
        </w:rPr>
        <w:t>】</w:t>
      </w:r>
      <w:r>
        <w:rPr>
          <w:rFonts w:hint="eastAsia"/>
          <w:lang w:val="en-US" w:eastAsia="zh-CN"/>
        </w:rPr>
        <w:t>点击‘查看资料’按钮，进入该公司详情界面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0500" cy="2466975"/>
            <wp:effectExtent l="0" t="0" r="0" b="9525"/>
            <wp:docPr id="4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5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88" w:name="_Toc17129"/>
      <w:r>
        <w:rPr>
          <w:rFonts w:hint="eastAsia"/>
          <w:lang w:val="en-US" w:eastAsia="zh-CN"/>
        </w:rPr>
        <w:t>8.1.3.3 EPR申报义务</w:t>
      </w:r>
      <w:bookmarkEnd w:id="88"/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【EPR申报义务列表】运营端用户点击EPR</w:t>
      </w:r>
      <w:r>
        <w:rPr>
          <w:rFonts w:hint="eastAsia" w:asciiTheme="minorEastAsia" w:hAnsiTheme="minorEastAsia"/>
          <w:lang w:val="en-US" w:eastAsia="zh-CN"/>
        </w:rPr>
        <w:t>服务</w:t>
      </w:r>
      <w:r>
        <w:rPr>
          <w:rFonts w:hint="eastAsia" w:ascii="宋体" w:hAnsi="宋体" w:eastAsia="宋体" w:cs="宋体"/>
          <w:lang w:val="en-US" w:eastAsia="zh-CN"/>
        </w:rPr>
        <w:t>-</w:t>
      </w:r>
      <w:r>
        <w:rPr>
          <w:rFonts w:hint="eastAsia" w:asciiTheme="minorEastAsia" w:hAnsiTheme="minorEastAsia"/>
          <w:lang w:val="en-US" w:eastAsia="zh-CN"/>
        </w:rPr>
        <w:t>EPR</w:t>
      </w:r>
      <w:r>
        <w:rPr>
          <w:rFonts w:hint="eastAsia" w:ascii="宋体" w:hAnsi="宋体" w:eastAsia="宋体" w:cs="宋体"/>
          <w:lang w:val="en-US" w:eastAsia="zh-CN"/>
        </w:rPr>
        <w:t>申报菜单，默认列表展示所有公司的申报义务数据</w:t>
      </w: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lang w:val="en-US" w:eastAsia="zh-CN"/>
        </w:rPr>
      </w:pPr>
      <w:r>
        <w:drawing>
          <wp:inline distT="0" distB="0" distL="114300" distR="114300">
            <wp:extent cx="5268595" cy="2433320"/>
            <wp:effectExtent l="0" t="0" r="1905" b="5080"/>
            <wp:docPr id="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6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【查看申报单】点击申报义务列表操作列‘查看申报单’按钮，进入该公司申报单详情界面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drawing>
          <wp:inline distT="0" distB="0" distL="114300" distR="114300">
            <wp:extent cx="5260340" cy="2367280"/>
            <wp:effectExtent l="0" t="0" r="10160" b="7620"/>
            <wp:docPr id="4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7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89" w:name="_Toc32570"/>
      <w:r>
        <w:rPr>
          <w:rFonts w:hint="eastAsia"/>
          <w:lang w:val="en-US" w:eastAsia="zh-CN"/>
        </w:rPr>
        <w:t>8.1.3.4 EPR申报记录（德国）</w:t>
      </w:r>
      <w:bookmarkEnd w:id="89"/>
    </w:p>
    <w:p>
      <w:pPr>
        <w:jc w:val="left"/>
        <w:rPr>
          <w:rFonts w:hint="default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1）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 w:ascii="宋体" w:hAnsi="宋体" w:eastAsia="宋体" w:cs="宋体"/>
          <w:lang w:val="en-US" w:eastAsia="zh-CN"/>
        </w:rPr>
        <w:t>EPR</w:t>
      </w:r>
      <w:r>
        <w:rPr>
          <w:rFonts w:hint="eastAsia" w:asciiTheme="minorEastAsia" w:hAnsiTheme="minorEastAsia"/>
          <w:lang w:val="en-US" w:eastAsia="zh-CN"/>
        </w:rPr>
        <w:t>申报数据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客户端用户登录后点击EPR合规管理-EPR申报，列表展示</w:t>
      </w:r>
      <w:r>
        <w:rPr>
          <w:rFonts w:hint="eastAsia" w:ascii="宋体" w:hAnsi="宋体" w:eastAsia="宋体" w:cs="宋体"/>
          <w:lang w:val="en-US" w:eastAsia="zh-CN"/>
        </w:rPr>
        <w:t>EPR</w:t>
      </w:r>
      <w:r>
        <w:rPr>
          <w:rFonts w:hint="eastAsia" w:asciiTheme="minorEastAsia" w:hAnsiTheme="minorEastAsia"/>
          <w:lang w:val="en-US" w:eastAsia="zh-CN"/>
        </w:rPr>
        <w:t>申报数据</w:t>
      </w:r>
    </w:p>
    <w:p>
      <w:pPr>
        <w:jc w:val="left"/>
        <w:rPr>
          <w:rFonts w:hint="eastAsia" w:asciiTheme="minorEastAsia" w:hAnsiTheme="minorEastAsia"/>
          <w:lang w:eastAsia="zh-CN"/>
        </w:rPr>
      </w:pPr>
      <w:r>
        <w:drawing>
          <wp:inline distT="0" distB="0" distL="114300" distR="114300">
            <wp:extent cx="5268595" cy="2265045"/>
            <wp:effectExtent l="0" t="0" r="0" b="0"/>
            <wp:docPr id="5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8"/>
                    <pic:cNvPicPr>
                      <a:picLocks noChangeAspect="1"/>
                    </pic:cNvPicPr>
                  </pic:nvPicPr>
                  <pic:blipFill>
                    <a:blip r:embed="rId182"/>
                    <a:srcRect t="75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2）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提交申报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点击EPR申报列表待提交状态数据‘提交申报’按钮，进入提交申报资料填写界面</w:t>
      </w:r>
    </w:p>
    <w:p>
      <w:r>
        <w:drawing>
          <wp:inline distT="0" distB="0" distL="114300" distR="114300">
            <wp:extent cx="4715510" cy="2023110"/>
            <wp:effectExtent l="0" t="0" r="8890" b="8890"/>
            <wp:docPr id="5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9"/>
                    <pic:cNvPicPr>
                      <a:picLocks noChangeAspect="1"/>
                    </pic:cNvPicPr>
                  </pic:nvPicPr>
                  <pic:blipFill>
                    <a:blip r:embed="rId183"/>
                    <a:srcRect t="8131"/>
                    <a:stretch>
                      <a:fillRect/>
                    </a:stretch>
                  </pic:blipFill>
                  <pic:spPr>
                    <a:xfrm>
                      <a:off x="0" y="0"/>
                      <a:ext cx="471551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填写对应的申报信息资料，点击‘提交申报’按钮，跳转到支付页面，同时该申报单变更为‘支付中’状态</w:t>
      </w:r>
    </w:p>
    <w:p>
      <w:pPr>
        <w:jc w:val="left"/>
        <w:rPr>
          <w:rFonts w:hint="eastAsia" w:asciiTheme="minorEastAsia" w:hAnsiTheme="minorEastAsia"/>
          <w:lang w:eastAsia="zh-CN"/>
        </w:rPr>
      </w:pPr>
      <w:r>
        <w:drawing>
          <wp:inline distT="0" distB="0" distL="114300" distR="114300">
            <wp:extent cx="4727575" cy="2004060"/>
            <wp:effectExtent l="0" t="0" r="9525" b="2540"/>
            <wp:docPr id="5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0"/>
                    <pic:cNvPicPr>
                      <a:picLocks noChangeAspect="1"/>
                    </pic:cNvPicPr>
                  </pic:nvPicPr>
                  <pic:blipFill>
                    <a:blip r:embed="rId184"/>
                    <a:srcRect t="7307"/>
                    <a:stretch>
                      <a:fillRect/>
                    </a:stretch>
                  </pic:blipFill>
                  <pic:spPr>
                    <a:xfrm>
                      <a:off x="0" y="0"/>
                      <a:ext cx="4727575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Theme="minorEastAsia" w:hAnsiTheme="minorEastAsia"/>
          <w:lang w:val="en-US" w:eastAsia="zh-CN"/>
        </w:rPr>
        <w:t>3）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/>
          <w:lang w:val="en-US" w:eastAsia="zh-CN"/>
        </w:rPr>
        <w:t>确认收款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运营人员登录后，进入EPR管理-EPR申报列表，点击操作列‘确认收款’按钮，点击‘确认’按钮，该申报单变更为‘待申报’状态</w:t>
      </w:r>
      <w:r>
        <w:drawing>
          <wp:inline distT="0" distB="0" distL="114300" distR="114300">
            <wp:extent cx="5086985" cy="1772285"/>
            <wp:effectExtent l="0" t="0" r="5715" b="5715"/>
            <wp:docPr id="17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7"/>
                    <pic:cNvPicPr>
                      <a:picLocks noChangeAspect="1"/>
                    </pic:cNvPicPr>
                  </pic:nvPicPr>
                  <pic:blipFill>
                    <a:blip r:embed="rId185"/>
                    <a:srcRect b="17371"/>
                    <a:stretch>
                      <a:fillRect/>
                    </a:stretch>
                  </pic:blipFill>
                  <pic:spPr>
                    <a:xfrm>
                      <a:off x="0" y="0"/>
                      <a:ext cx="5086985" cy="177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default" w:asciiTheme="minorEastAsia" w:hAnsiTheme="minorEastAsia" w:eastAsia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4）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发起申报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运营人员点击待申报状态申报数据的‘发起申报’按钮，该申报单变更为‘申报中’状态</w:t>
      </w:r>
    </w:p>
    <w:p>
      <w:pPr>
        <w:jc w:val="left"/>
        <w:rPr>
          <w:rFonts w:hint="eastAsia" w:asciiTheme="minorEastAsia" w:hAnsiTheme="minorEastAsia"/>
          <w:b/>
          <w:bCs/>
          <w:lang w:val="en-US" w:eastAsia="zh-CN"/>
        </w:rPr>
      </w:pPr>
      <w:r>
        <w:drawing>
          <wp:inline distT="0" distB="0" distL="114300" distR="114300">
            <wp:extent cx="5270500" cy="2510155"/>
            <wp:effectExtent l="0" t="0" r="0" b="4445"/>
            <wp:docPr id="5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5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Theme="minorEastAsia" w:hAnsiTheme="minorEastAsia"/>
          <w:lang w:val="en-US" w:eastAsia="zh-CN"/>
        </w:rPr>
      </w:pPr>
    </w:p>
    <w:p>
      <w:pPr>
        <w:jc w:val="left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8）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【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申报成功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运营人员点击申报中状态申报数据的‘上传申报凭证’按钮，上传申报凭证后，点击确定按钮后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该申报数据变更为申报成功状态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113280"/>
            <wp:effectExtent l="0" t="0" r="1270" b="7620"/>
            <wp:docPr id="18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9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90" w:name="_Toc27193"/>
      <w:r>
        <w:rPr>
          <w:rFonts w:hint="eastAsia"/>
          <w:lang w:val="en-US" w:eastAsia="zh-CN"/>
        </w:rPr>
        <w:t>8.1.3.5 EPR申报记录（法国）</w:t>
      </w:r>
      <w:bookmarkEnd w:id="90"/>
    </w:p>
    <w:p>
      <w:pPr>
        <w:jc w:val="left"/>
        <w:rPr>
          <w:rFonts w:hint="default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1）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 w:ascii="宋体" w:hAnsi="宋体" w:eastAsia="宋体" w:cs="宋体"/>
          <w:lang w:val="en-US" w:eastAsia="zh-CN"/>
        </w:rPr>
        <w:t>EPR</w:t>
      </w:r>
      <w:r>
        <w:rPr>
          <w:rFonts w:hint="eastAsia" w:asciiTheme="minorEastAsia" w:hAnsiTheme="minorEastAsia"/>
          <w:lang w:val="en-US" w:eastAsia="zh-CN"/>
        </w:rPr>
        <w:t>申报数据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客户端用户登录后点击EPR合规管理-EPR申报，列表展示</w:t>
      </w:r>
      <w:r>
        <w:rPr>
          <w:rFonts w:hint="eastAsia" w:ascii="宋体" w:hAnsi="宋体" w:eastAsia="宋体" w:cs="宋体"/>
          <w:lang w:val="en-US" w:eastAsia="zh-CN"/>
        </w:rPr>
        <w:t>EPR</w:t>
      </w:r>
      <w:r>
        <w:rPr>
          <w:rFonts w:hint="eastAsia" w:asciiTheme="minorEastAsia" w:hAnsiTheme="minorEastAsia"/>
          <w:lang w:val="en-US" w:eastAsia="zh-CN"/>
        </w:rPr>
        <w:t>申报数据</w:t>
      </w:r>
    </w:p>
    <w:p>
      <w:pPr>
        <w:jc w:val="left"/>
        <w:rPr>
          <w:rFonts w:hint="eastAsia" w:asciiTheme="minorEastAsia" w:hAnsiTheme="minorEastAsia"/>
          <w:lang w:eastAsia="zh-CN"/>
        </w:rPr>
      </w:pPr>
      <w:r>
        <w:drawing>
          <wp:inline distT="0" distB="0" distL="114300" distR="114300">
            <wp:extent cx="5268595" cy="2265045"/>
            <wp:effectExtent l="0" t="0" r="1905" b="8255"/>
            <wp:docPr id="10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8"/>
                    <pic:cNvPicPr>
                      <a:picLocks noChangeAspect="1"/>
                    </pic:cNvPicPr>
                  </pic:nvPicPr>
                  <pic:blipFill>
                    <a:blip r:embed="rId182"/>
                    <a:srcRect t="75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2）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提交申报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点击EPR申报列表待提交状态数据‘提交申报’按钮，进入提交申报资料填写界面</w:t>
      </w:r>
    </w:p>
    <w:p>
      <w:r>
        <w:drawing>
          <wp:inline distT="0" distB="0" distL="114300" distR="114300">
            <wp:extent cx="5268595" cy="2273935"/>
            <wp:effectExtent l="0" t="0" r="0" b="0"/>
            <wp:docPr id="10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9"/>
                    <pic:cNvPicPr>
                      <a:picLocks noChangeAspect="1"/>
                    </pic:cNvPicPr>
                  </pic:nvPicPr>
                  <pic:blipFill>
                    <a:blip r:embed="rId183"/>
                    <a:srcRect t="756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填写对应的申报信息资料，点击‘提交申报’按钮，该申报单变更为AVA审核状态</w:t>
      </w:r>
    </w:p>
    <w:p>
      <w:pPr>
        <w:jc w:val="left"/>
        <w:rPr>
          <w:rFonts w:hint="default"/>
          <w:b/>
          <w:bCs/>
          <w:lang w:val="en-US" w:eastAsia="zh-CN"/>
        </w:rPr>
      </w:pPr>
      <w:r>
        <w:drawing>
          <wp:inline distT="0" distB="0" distL="114300" distR="114300">
            <wp:extent cx="5271135" cy="1579880"/>
            <wp:effectExtent l="0" t="0" r="0" b="0"/>
            <wp:docPr id="18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0"/>
                    <pic:cNvPicPr>
                      <a:picLocks noChangeAspect="1"/>
                    </pic:cNvPicPr>
                  </pic:nvPicPr>
                  <pic:blipFill>
                    <a:blip r:embed="rId188"/>
                    <a:srcRect b="1906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/>
          <w:lang w:eastAsia="zh-CN"/>
        </w:rPr>
      </w:pPr>
    </w:p>
    <w:p>
      <w:pPr>
        <w:jc w:val="left"/>
        <w:rPr>
          <w:rFonts w:hint="default" w:asciiTheme="minorEastAsia" w:hAnsiTheme="minorEastAsia" w:eastAsia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3）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/>
          <w:lang w:val="en-US" w:eastAsia="zh-CN"/>
        </w:rPr>
        <w:t>AVA审核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运营人员登录后，进入EPR管理-EPR申报列表，点击操作列‘审核’按钮，进入审核界面，点击‘完成审核’按钮，该申报单变更为‘待申报’状态</w:t>
      </w:r>
    </w:p>
    <w:p>
      <w:r>
        <w:drawing>
          <wp:inline distT="0" distB="0" distL="114300" distR="114300">
            <wp:extent cx="5272405" cy="2259965"/>
            <wp:effectExtent l="0" t="0" r="0" b="0"/>
            <wp:docPr id="11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21"/>
                    <pic:cNvPicPr>
                      <a:picLocks noChangeAspect="1"/>
                    </pic:cNvPicPr>
                  </pic:nvPicPr>
                  <pic:blipFill>
                    <a:blip r:embed="rId189"/>
                    <a:srcRect t="850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jc w:val="left"/>
        <w:rPr>
          <w:rFonts w:hint="default" w:asciiTheme="minorEastAsia" w:hAnsiTheme="minorEastAsia" w:eastAsia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4）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递交组织申报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运营人员点击待申报状态申报数据的‘递交组织’按钮，提交递交税局操作，该申报单变更为‘申报中’状态</w:t>
      </w:r>
    </w:p>
    <w:p>
      <w:pPr>
        <w:jc w:val="left"/>
        <w:rPr>
          <w:rFonts w:hint="default" w:asciiTheme="minorEastAsia" w:hAnsiTheme="minorEastAsia"/>
          <w:lang w:val="en-US" w:eastAsia="zh-CN"/>
        </w:rPr>
      </w:pPr>
    </w:p>
    <w:p>
      <w:pPr>
        <w:jc w:val="left"/>
        <w:rPr>
          <w:rFonts w:hint="eastAsia" w:asciiTheme="minorEastAsia" w:hAnsiTheme="minorEastAsia"/>
          <w:lang w:val="en-US" w:eastAsia="zh-CN"/>
        </w:rPr>
      </w:pPr>
      <w:r>
        <w:drawing>
          <wp:inline distT="0" distB="0" distL="114300" distR="114300">
            <wp:extent cx="5273675" cy="2330450"/>
            <wp:effectExtent l="0" t="0" r="9525" b="6350"/>
            <wp:docPr id="11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2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3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lang w:eastAsia="zh-CN"/>
        </w:rPr>
      </w:pPr>
      <w:r>
        <w:rPr>
          <w:rFonts w:hint="eastAsia" w:asciiTheme="minorEastAsia" w:hAnsiTheme="minorEastAsia"/>
          <w:lang w:val="en-US" w:eastAsia="zh-CN"/>
        </w:rPr>
        <w:t>5）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在线缴费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运营人员点击申报中状态申报数据的‘在线缴费’按钮，填写对应的信息，点击提交后，该申报单变更为‘支付中’状态</w:t>
      </w:r>
    </w:p>
    <w:p>
      <w:r>
        <w:drawing>
          <wp:inline distT="0" distB="0" distL="114300" distR="114300">
            <wp:extent cx="5262245" cy="2404110"/>
            <wp:effectExtent l="0" t="0" r="8255" b="8890"/>
            <wp:docPr id="11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23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【支付】客户在客户端-EPR合规管理-在线缴费中，找到该法案对应的订单，点击操作栏中的‘支付’按钮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1736090"/>
            <wp:effectExtent l="0" t="0" r="10795" b="3810"/>
            <wp:docPr id="20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1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3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7）【提交支付凭证】客户在客户端-EPR合规管理-在线缴费-支付页面中，按业务要求完成上传付款凭证，点击‘提交支付凭证’按钮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3128645"/>
            <wp:effectExtent l="0" t="0" r="1905" b="8255"/>
            <wp:docPr id="20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12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2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Theme="minorEastAsia" w:hAnsiTheme="minorEastAsia" w:eastAsia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8）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缴费信息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运营人员点击支付中状态申报数据的‘缴费信息’按钮，弹出缴费列表，运营需要检查所有的在线缴费订单状态为：已支付状态</w:t>
      </w:r>
    </w:p>
    <w:p>
      <w:pPr>
        <w:jc w:val="left"/>
      </w:pPr>
      <w:r>
        <w:drawing>
          <wp:inline distT="0" distB="0" distL="114300" distR="114300">
            <wp:extent cx="5270500" cy="2052320"/>
            <wp:effectExtent l="0" t="0" r="0" b="5080"/>
            <wp:docPr id="20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14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Theme="minorEastAsia" w:hAnsiTheme="minor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9）【收款确认】</w:t>
      </w:r>
      <w:r>
        <w:rPr>
          <w:rFonts w:hint="eastAsia" w:asciiTheme="minorEastAsia" w:hAnsiTheme="minorEastAsia"/>
          <w:lang w:val="en-US" w:eastAsia="zh-CN"/>
        </w:rPr>
        <w:t>运营人员点击在线缴费订单操作中的‘收款确认’，点击确认，则该在线缴费订单状态变更为‘支付成功’状态</w:t>
      </w:r>
    </w:p>
    <w:p>
      <w:pPr>
        <w:jc w:val="left"/>
      </w:pPr>
      <w:r>
        <w:drawing>
          <wp:inline distT="0" distB="0" distL="114300" distR="114300">
            <wp:extent cx="5267325" cy="1314450"/>
            <wp:effectExtent l="0" t="0" r="3175" b="6350"/>
            <wp:docPr id="20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16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Theme="minorEastAsia" w:hAnsiTheme="minor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10）【确认支付】</w:t>
      </w:r>
      <w:r>
        <w:rPr>
          <w:rFonts w:hint="eastAsia" w:asciiTheme="minorEastAsia" w:hAnsiTheme="minorEastAsia"/>
          <w:lang w:val="en-US" w:eastAsia="zh-CN"/>
        </w:rPr>
        <w:t>运营人员点击申报单状态：支付中状态下的操作栏中的‘确认支付’按钮，系统校验该申报单关联的在线缴费订单状态是否全是“支付成功”，若是，则该申报单变更为‘待申报’状态</w:t>
      </w:r>
    </w:p>
    <w:p>
      <w:pPr>
        <w:jc w:val="left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6055" cy="2138680"/>
            <wp:effectExtent l="0" t="0" r="4445" b="7620"/>
            <wp:docPr id="21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17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3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/>
          <w:lang w:val="en-US" w:eastAsia="zh-CN"/>
        </w:rPr>
      </w:pPr>
      <w:r>
        <w:rPr>
          <w:rFonts w:hint="eastAsia"/>
          <w:lang w:val="en-US" w:eastAsia="zh-CN"/>
        </w:rPr>
        <w:t>11）【上传申报凭证】</w:t>
      </w:r>
      <w:r>
        <w:rPr>
          <w:rFonts w:hint="eastAsia" w:asciiTheme="minorEastAsia" w:hAnsiTheme="minorEastAsia"/>
          <w:lang w:val="en-US" w:eastAsia="zh-CN"/>
        </w:rPr>
        <w:t>运营人员点击申报单状态：申报成功状态下的操作栏中的‘上传申报凭证’按钮，完成申报凭证上传</w:t>
      </w:r>
    </w:p>
    <w:p>
      <w:pPr>
        <w:jc w:val="left"/>
      </w:pPr>
      <w:r>
        <w:drawing>
          <wp:inline distT="0" distB="0" distL="114300" distR="114300">
            <wp:extent cx="5271770" cy="1745615"/>
            <wp:effectExtent l="0" t="0" r="11430" b="6985"/>
            <wp:docPr id="21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18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12）【申报凭证】客户可以登录客户端-EPR合规管理-申报单，找到该申报单，点击操作栏中的‘申报凭证’按钮，查看申报凭证。</w:t>
      </w:r>
    </w:p>
    <w:p>
      <w:p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013585"/>
            <wp:effectExtent l="0" t="0" r="3810" b="5715"/>
            <wp:docPr id="21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19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 w:asciiTheme="minorEastAsia" w:hAnsiTheme="minorEastAsia"/>
          <w:b/>
          <w:bCs/>
          <w:lang w:val="en-US" w:eastAsia="zh-CN"/>
        </w:rPr>
      </w:pPr>
    </w:p>
    <w:p>
      <w:pPr>
        <w:jc w:val="left"/>
        <w:rPr>
          <w:rFonts w:hint="default" w:asciiTheme="minorEastAsia" w:hAnsiTheme="minorEastAsia"/>
          <w:lang w:val="en-US" w:eastAsia="zh-CN"/>
        </w:rPr>
      </w:pPr>
    </w:p>
    <w:p/>
    <w:p>
      <w:pPr>
        <w:jc w:val="left"/>
        <w:rPr>
          <w:rFonts w:hint="default" w:ascii="宋体" w:hAnsi="宋体" w:eastAsia="宋体" w:cs="宋体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91" w:name="_Toc12443"/>
      <w:r>
        <w:rPr>
          <w:rFonts w:hint="eastAsia"/>
          <w:lang w:val="en-US" w:eastAsia="zh-CN"/>
        </w:rPr>
        <w:t>8.1.3.6 EPR计费规则</w:t>
      </w:r>
      <w:bookmarkEnd w:id="91"/>
    </w:p>
    <w:p>
      <w:pPr>
        <w:jc w:val="left"/>
        <w:rPr>
          <w:rFonts w:hint="default" w:asciiTheme="minorEastAsia" w:hAnsiTheme="minor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1）【EPR计费列表】</w:t>
      </w:r>
      <w:r>
        <w:rPr>
          <w:rFonts w:hint="eastAsia" w:asciiTheme="minorEastAsia" w:hAnsiTheme="minorEastAsia"/>
          <w:lang w:val="en-US" w:eastAsia="zh-CN"/>
        </w:rPr>
        <w:t>运营人员登录后，进入EPR管理-EPR计费规则列表，查看EPR计费规则（仅支持德国-包装法、WEEE、电池法）</w:t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73040" cy="2482215"/>
            <wp:effectExtent l="0" t="0" r="10160" b="6985"/>
            <wp:docPr id="21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0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2）【新增计费规则】点击新增，弹出计费规则模版配置页面</w: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69230" cy="2609850"/>
            <wp:effectExtent l="0" t="0" r="1270" b="6350"/>
            <wp:docPr id="22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33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德国-包装法</w:t>
      </w:r>
      <w:r>
        <w:rPr>
          <w:rFonts w:hint="eastAsia"/>
          <w:lang w:eastAsia="zh-CN"/>
        </w:rPr>
        <w:t>】</w:t>
      </w:r>
    </w:p>
    <w:p>
      <w:pPr>
        <w:bidi w:val="0"/>
        <w:ind w:firstLine="2730" w:firstLineChars="1300"/>
        <w:rPr>
          <w:rFonts w:hint="eastAsia"/>
          <w:lang w:eastAsia="zh-CN"/>
        </w:rPr>
      </w:pPr>
    </w:p>
    <w:p>
      <w:pPr>
        <w:bidi w:val="0"/>
      </w:pPr>
      <w:r>
        <w:drawing>
          <wp:inline distT="0" distB="0" distL="114300" distR="114300">
            <wp:extent cx="5269230" cy="2639695"/>
            <wp:effectExtent l="0" t="0" r="1270" b="1905"/>
            <wp:docPr id="22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34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德国-WEEE</w:t>
      </w:r>
      <w:r>
        <w:rPr>
          <w:rFonts w:hint="eastAsia"/>
          <w:lang w:eastAsia="zh-CN"/>
        </w:rPr>
        <w:t>】</w:t>
      </w:r>
    </w:p>
    <w:p>
      <w:pPr>
        <w:bidi w:val="0"/>
        <w:jc w:val="center"/>
      </w:pPr>
      <w:r>
        <w:drawing>
          <wp:inline distT="0" distB="0" distL="114300" distR="114300">
            <wp:extent cx="5266055" cy="2626995"/>
            <wp:effectExtent l="0" t="0" r="4445" b="1905"/>
            <wp:docPr id="21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3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【德国-电池法】</w:t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92" w:name="_Toc20933"/>
      <w:r>
        <w:rPr>
          <w:rFonts w:hint="eastAsia"/>
          <w:lang w:val="en-US" w:eastAsia="zh-CN"/>
        </w:rPr>
        <w:t>8.1.3.7 EPR汇率配置</w:t>
      </w:r>
      <w:bookmarkEnd w:id="92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1）【EPR汇率配置】</w:t>
      </w:r>
      <w:r>
        <w:rPr>
          <w:rFonts w:hint="eastAsia" w:asciiTheme="minorEastAsia" w:hAnsiTheme="minorEastAsia"/>
          <w:lang w:val="en-US" w:eastAsia="zh-CN"/>
        </w:rPr>
        <w:t>运营人员登录后，进入EPR管理-</w:t>
      </w:r>
      <w:r>
        <w:rPr>
          <w:rFonts w:hint="eastAsia"/>
          <w:lang w:val="en-US" w:eastAsia="zh-CN"/>
        </w:rPr>
        <w:t>EPR汇率配置</w:t>
      </w:r>
      <w:r>
        <w:rPr>
          <w:rFonts w:hint="eastAsia" w:asciiTheme="minorEastAsia" w:hAnsiTheme="minorEastAsia"/>
          <w:lang w:val="en-US" w:eastAsia="zh-CN"/>
        </w:rPr>
        <w:t>列表，查看</w:t>
      </w:r>
      <w:r>
        <w:rPr>
          <w:rFonts w:hint="eastAsia"/>
          <w:lang w:val="en-US" w:eastAsia="zh-CN"/>
        </w:rPr>
        <w:t>EPR汇率配置</w:t>
      </w:r>
    </w:p>
    <w:p>
      <w:pPr>
        <w:bidi w:val="0"/>
      </w:pPr>
      <w:r>
        <w:drawing>
          <wp:inline distT="0" distB="0" distL="114300" distR="114300">
            <wp:extent cx="5266690" cy="1428750"/>
            <wp:effectExtent l="0" t="0" r="3810" b="6350"/>
            <wp:docPr id="21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4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2）【新增汇率】点击新增，弹出汇率配置页面</w:t>
      </w: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5269230" cy="2731770"/>
            <wp:effectExtent l="0" t="0" r="1270" b="11430"/>
            <wp:docPr id="21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5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93" w:name="_Toc12806"/>
      <w:r>
        <w:rPr>
          <w:rFonts w:hint="eastAsia"/>
          <w:lang w:val="en-US" w:eastAsia="zh-CN"/>
        </w:rPr>
        <w:t>8.1.3.8 回收组织</w:t>
      </w:r>
      <w:bookmarkEnd w:id="93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1）【回收组织】</w:t>
      </w:r>
      <w:r>
        <w:rPr>
          <w:rFonts w:hint="eastAsia" w:asciiTheme="minorEastAsia" w:hAnsiTheme="minorEastAsia"/>
          <w:lang w:val="en-US" w:eastAsia="zh-CN"/>
        </w:rPr>
        <w:t>运营人员登录后，进入EPR管理-</w:t>
      </w:r>
      <w:r>
        <w:rPr>
          <w:rFonts w:hint="eastAsia"/>
          <w:lang w:val="en-US" w:eastAsia="zh-CN"/>
        </w:rPr>
        <w:t>回收组织</w:t>
      </w:r>
      <w:r>
        <w:rPr>
          <w:rFonts w:hint="eastAsia" w:asciiTheme="minorEastAsia" w:hAnsiTheme="minorEastAsia"/>
          <w:lang w:val="en-US" w:eastAsia="zh-CN"/>
        </w:rPr>
        <w:t>列表，查看</w:t>
      </w:r>
      <w:r>
        <w:rPr>
          <w:rFonts w:hint="eastAsia"/>
          <w:lang w:val="en-US" w:eastAsia="zh-CN"/>
        </w:rPr>
        <w:t>已配置的回收组织。</w:t>
      </w: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5266055" cy="1963420"/>
            <wp:effectExtent l="0" t="0" r="4445" b="5080"/>
            <wp:docPr id="22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30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6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rPr>
          <w:rFonts w:hint="eastAsia"/>
          <w:lang w:val="en-US" w:eastAsia="zh-CN"/>
        </w:rPr>
        <w:t>2）【新增组织】点击新增，弹出新增组织配置页面</w:t>
      </w:r>
    </w:p>
    <w:p>
      <w:pPr>
        <w:bidi w:val="0"/>
      </w:pPr>
      <w:r>
        <w:drawing>
          <wp:inline distT="0" distB="0" distL="114300" distR="114300">
            <wp:extent cx="3369310" cy="2107565"/>
            <wp:effectExtent l="0" t="0" r="8890" b="635"/>
            <wp:docPr id="22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8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3369310" cy="210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3）【编辑】点击编辑，弹出编辑组织配置页面</w:t>
      </w:r>
    </w:p>
    <w:p>
      <w:pPr>
        <w:bidi w:val="0"/>
      </w:pPr>
      <w:r>
        <w:drawing>
          <wp:inline distT="0" distB="0" distL="114300" distR="114300">
            <wp:extent cx="5269230" cy="2590165"/>
            <wp:effectExtent l="0" t="0" r="1270" b="635"/>
            <wp:docPr id="22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31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9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4）【删除】点击删除，弹出删除提示，点击确定，删除成功</w:t>
      </w:r>
    </w:p>
    <w:p>
      <w:pPr>
        <w:bidi w:val="0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3244850" cy="1803400"/>
            <wp:effectExtent l="0" t="0" r="6350" b="0"/>
            <wp:docPr id="22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32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324485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94" w:name="_Toc9208"/>
      <w:r>
        <w:rPr>
          <w:rFonts w:hint="eastAsia"/>
          <w:lang w:val="en-US" w:eastAsia="zh-CN"/>
        </w:rPr>
        <w:t>8.1.3.9 在线缴费</w:t>
      </w:r>
      <w:bookmarkEnd w:id="94"/>
    </w:p>
    <w:p>
      <w:pPr>
        <w:rPr>
          <w:rFonts w:hint="default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1）【在线缴费列表】运营人员/客户登录后，进入EPR管理-</w:t>
      </w:r>
      <w:r>
        <w:rPr>
          <w:rFonts w:hint="eastAsia"/>
          <w:lang w:val="en-US" w:eastAsia="zh-CN"/>
        </w:rPr>
        <w:t>在线缴费</w:t>
      </w:r>
      <w:r>
        <w:rPr>
          <w:rFonts w:hint="eastAsia" w:asciiTheme="minorEastAsia" w:hAnsiTheme="minorEastAsia"/>
          <w:lang w:val="en-US" w:eastAsia="zh-CN"/>
        </w:rPr>
        <w:t>列表，查看</w:t>
      </w:r>
      <w:r>
        <w:rPr>
          <w:rFonts w:hint="eastAsia"/>
          <w:lang w:val="en-US" w:eastAsia="zh-CN"/>
        </w:rPr>
        <w:t>已创建的在线缴费列表信息</w:t>
      </w:r>
    </w:p>
    <w:p>
      <w:pPr>
        <w:rPr>
          <w:rFonts w:hint="default" w:asciiTheme="minorEastAsia" w:hAnsiTheme="minorEastAsia"/>
          <w:lang w:val="en-US" w:eastAsia="zh-CN"/>
        </w:rPr>
      </w:pPr>
      <w:r>
        <w:drawing>
          <wp:inline distT="0" distB="0" distL="114300" distR="114300">
            <wp:extent cx="5267325" cy="1768475"/>
            <wp:effectExtent l="0" t="0" r="3175" b="9525"/>
            <wp:docPr id="2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35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lang w:val="en-US" w:eastAsia="zh-CN"/>
        </w:rPr>
      </w:pPr>
    </w:p>
    <w:p>
      <w:pPr>
        <w:rPr>
          <w:rFonts w:hint="eastAsia" w:asciiTheme="minorEastAsia" w:hAnsiTheme="minorEastAsia"/>
          <w:lang w:val="en-US" w:eastAsia="zh-CN"/>
        </w:rPr>
      </w:pPr>
    </w:p>
    <w:p>
      <w:pPr>
        <w:rPr>
          <w:rFonts w:hint="eastAsia" w:asciiTheme="minorEastAsia" w:hAnsiTheme="minorEastAsia"/>
          <w:lang w:val="en-US" w:eastAsia="zh-CN"/>
        </w:rPr>
      </w:pPr>
    </w:p>
    <w:p>
      <w:pPr>
        <w:rPr>
          <w:rFonts w:hint="eastAsia" w:asciiTheme="minorEastAsia" w:hAnsiTheme="minorEastAsia"/>
          <w:lang w:val="en-US" w:eastAsia="zh-CN"/>
        </w:rPr>
      </w:pPr>
    </w:p>
    <w:p>
      <w:pPr>
        <w:rPr>
          <w:rFonts w:hint="eastAsia" w:asciiTheme="minorEastAsia" w:hAnsiTheme="minorEastAsia"/>
          <w:lang w:eastAsia="zh-CN"/>
        </w:rPr>
      </w:pPr>
      <w:r>
        <w:rPr>
          <w:rFonts w:hint="eastAsia" w:asciiTheme="minorEastAsia" w:hAnsiTheme="minorEastAsia"/>
          <w:lang w:val="en-US" w:eastAsia="zh-CN"/>
        </w:rPr>
        <w:t>2）</w:t>
      </w:r>
      <w:r>
        <w:rPr>
          <w:rFonts w:hint="eastAsia" w:asciiTheme="minorEastAsia" w:hAnsiTheme="minorEastAsia"/>
          <w:lang w:eastAsia="zh-CN"/>
        </w:rPr>
        <w:t>【</w:t>
      </w:r>
      <w:r>
        <w:rPr>
          <w:rFonts w:hint="eastAsia" w:asciiTheme="minorEastAsia" w:hAnsiTheme="minorEastAsia"/>
          <w:lang w:val="en-US" w:eastAsia="zh-CN"/>
        </w:rPr>
        <w:t>发起在线缴费</w:t>
      </w:r>
      <w:r>
        <w:rPr>
          <w:rFonts w:hint="eastAsia" w:asciiTheme="minorEastAsia" w:hAnsiTheme="minorEastAsia"/>
          <w:lang w:eastAsia="zh-CN"/>
        </w:rPr>
        <w:t>】</w:t>
      </w:r>
      <w:r>
        <w:rPr>
          <w:rFonts w:hint="eastAsia" w:asciiTheme="minorEastAsia" w:hAnsiTheme="minorEastAsia"/>
          <w:lang w:val="en-US" w:eastAsia="zh-CN"/>
        </w:rPr>
        <w:t>运营人员点击申报中状态申报数据的‘在线缴费’按钮，或点击EPR合规管理-在线缴费-新增账单，填写对应的信息，点击提交后，该在线缴费订单状态变更为‘待支付’状态</w:t>
      </w:r>
    </w:p>
    <w:p>
      <w:r>
        <w:drawing>
          <wp:inline distT="0" distB="0" distL="114300" distR="114300">
            <wp:extent cx="5018405" cy="2292985"/>
            <wp:effectExtent l="0" t="0" r="10795" b="5715"/>
            <wp:docPr id="22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3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01840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3）【支付】客户在客户端-EPR合规管理-在线缴费中，找到该法案对应的订单，点击操作栏中的‘支付’按钮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1736090"/>
            <wp:effectExtent l="0" t="0" r="10795" b="3810"/>
            <wp:docPr id="2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11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3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4）【提交支付凭证】客户在客户端-EPR合规管理-在线缴费-支付页面中，按业务要求完成上传付款凭证，点击‘提交支付凭证’按钮，</w:t>
      </w:r>
      <w:r>
        <w:rPr>
          <w:rFonts w:hint="eastAsia" w:asciiTheme="minorEastAsia" w:hAnsiTheme="minorEastAsia"/>
          <w:lang w:val="en-US" w:eastAsia="zh-CN"/>
        </w:rPr>
        <w:t>该在线缴费订单状态变更为‘支付中’状态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4683760" cy="2781935"/>
            <wp:effectExtent l="0" t="0" r="2540" b="12065"/>
            <wp:docPr id="23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12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4683760" cy="27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Theme="minorEastAsia" w:hAnsiTheme="minor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5）【收款确认】</w:t>
      </w:r>
      <w:r>
        <w:rPr>
          <w:rFonts w:hint="eastAsia" w:asciiTheme="minorEastAsia" w:hAnsiTheme="minorEastAsia"/>
          <w:lang w:val="en-US" w:eastAsia="zh-CN"/>
        </w:rPr>
        <w:t>运营人员点击在线缴费订单操作中的‘收款确认’，点击确认，则该在线缴费订单状态变更为‘支付成功’状态</w:t>
      </w:r>
    </w:p>
    <w:p>
      <w:pPr>
        <w:jc w:val="left"/>
      </w:pPr>
      <w:r>
        <w:drawing>
          <wp:inline distT="0" distB="0" distL="114300" distR="114300">
            <wp:extent cx="5267325" cy="1314450"/>
            <wp:effectExtent l="0" t="0" r="3175" b="6350"/>
            <wp:docPr id="23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16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1759585"/>
            <wp:effectExtent l="0" t="0" r="11430" b="5715"/>
            <wp:docPr id="2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37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95" w:name="_Toc15415"/>
      <w:r>
        <w:rPr>
          <w:rFonts w:hint="eastAsia"/>
          <w:lang w:val="en-US" w:eastAsia="zh-CN"/>
        </w:rPr>
        <w:t>8.1.3.10 EPR加类加品牌</w:t>
      </w:r>
      <w:bookmarkEnd w:id="95"/>
    </w:p>
    <w:p>
      <w:pPr>
        <w:bidi w:val="0"/>
      </w:pPr>
      <w:r>
        <w:drawing>
          <wp:inline distT="0" distB="0" distL="114300" distR="114300">
            <wp:extent cx="5272405" cy="1696085"/>
            <wp:effectExtent l="0" t="0" r="10795" b="5715"/>
            <wp:docPr id="2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39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9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96" w:name="_Toc30380"/>
      <w:r>
        <w:rPr>
          <w:rFonts w:hint="eastAsia"/>
          <w:lang w:val="en-US" w:eastAsia="zh-CN"/>
        </w:rPr>
        <w:t>9、信件管理</w:t>
      </w:r>
      <w:bookmarkEnd w:id="96"/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97" w:name="_Toc5477"/>
      <w:r>
        <w:rPr>
          <w:rFonts w:hint="eastAsia"/>
          <w:lang w:val="en-US" w:eastAsia="zh-CN"/>
        </w:rPr>
        <w:t>9.1.1功能介绍</w:t>
      </w:r>
      <w:bookmarkEnd w:id="97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信件管理：是指支持系统自动获取组织或税局发给客户的邮件信息，主要包含组织邮箱配置、业务邮箱配置、信件类型，收件管理，发件管理以及我的信件。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98" w:name="_Toc2013"/>
      <w:r>
        <w:rPr>
          <w:rFonts w:hint="eastAsia"/>
          <w:lang w:val="en-US" w:eastAsia="zh-CN"/>
        </w:rPr>
        <w:t>9.1.2操作说明</w:t>
      </w:r>
      <w:bookmarkEnd w:id="98"/>
    </w:p>
    <w:p>
      <w:pPr>
        <w:bidi w:val="0"/>
      </w:pPr>
      <w:r>
        <w:drawing>
          <wp:inline distT="0" distB="0" distL="114300" distR="114300">
            <wp:extent cx="5273040" cy="2272665"/>
            <wp:effectExtent l="0" t="0" r="10160" b="635"/>
            <wp:docPr id="283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72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99" w:name="_Toc22972"/>
      <w:r>
        <w:rPr>
          <w:rFonts w:hint="eastAsia"/>
          <w:lang w:val="en-US" w:eastAsia="zh-CN"/>
        </w:rPr>
        <w:t>9.1.3功能说明</w:t>
      </w:r>
      <w:bookmarkEnd w:id="99"/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100" w:name="_Toc26815"/>
      <w:r>
        <w:rPr>
          <w:rFonts w:hint="eastAsia"/>
          <w:lang w:val="en-US" w:eastAsia="zh-CN"/>
        </w:rPr>
        <w:t>9.1.3.1.组织邮箱管理</w:t>
      </w:r>
      <w:bookmarkEnd w:id="100"/>
    </w:p>
    <w:p>
      <w:pPr>
        <w:rPr>
          <w:rFonts w:hint="default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1）【组织邮箱列表】运营人员登录后，进入邮件管理-邮箱管理列表，查看</w:t>
      </w:r>
      <w:r>
        <w:rPr>
          <w:rFonts w:hint="eastAsia"/>
          <w:lang w:val="en-US" w:eastAsia="zh-CN"/>
        </w:rPr>
        <w:t>已创建的组织邮件信息</w:t>
      </w: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5271770" cy="1274445"/>
            <wp:effectExtent l="0" t="0" r="11430" b="8255"/>
            <wp:docPr id="2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40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2）【新增组织邮箱】点击新增，弹出新增组织邮箱配置页面</w:t>
      </w:r>
    </w:p>
    <w:p>
      <w:pPr>
        <w:bidi w:val="0"/>
      </w:pPr>
      <w:r>
        <w:drawing>
          <wp:inline distT="0" distB="0" distL="114300" distR="114300">
            <wp:extent cx="5269230" cy="1693545"/>
            <wp:effectExtent l="0" t="0" r="1270" b="8255"/>
            <wp:docPr id="25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51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9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3）【编辑组织邮箱】点击编辑，弹出编辑组织邮箱配置页面</w:t>
      </w:r>
    </w:p>
    <w:p>
      <w:pPr>
        <w:bidi w:val="0"/>
      </w:pPr>
      <w:r>
        <w:drawing>
          <wp:inline distT="0" distB="0" distL="114300" distR="114300">
            <wp:extent cx="5271770" cy="1684020"/>
            <wp:effectExtent l="0" t="0" r="11430" b="5080"/>
            <wp:docPr id="25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52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4）【删除组织邮箱】点击删除，弹出删除组织邮箱提示页面，点击确定，删除成功</w:t>
      </w:r>
    </w:p>
    <w:p>
      <w:pPr>
        <w:bidi w:val="0"/>
      </w:pPr>
      <w:r>
        <w:drawing>
          <wp:inline distT="0" distB="0" distL="114300" distR="114300">
            <wp:extent cx="3784600" cy="2120900"/>
            <wp:effectExtent l="0" t="0" r="0" b="0"/>
            <wp:docPr id="25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53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378460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5）【启用组织邮箱】点击启用，弹出启用组织邮箱提示页面，点击确定，启用成功。列表状态改为启用，操作列表中展示禁用按钮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1908175"/>
            <wp:effectExtent l="0" t="0" r="10795" b="9525"/>
            <wp:docPr id="25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54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6）【停用组织邮箱】点击停用，弹出停用组织邮箱提示页面，点击确定，停用成功。列表状态改为停用，操作列表中展示启用按钮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851400" cy="2305050"/>
            <wp:effectExtent l="0" t="0" r="0" b="6350"/>
            <wp:docPr id="25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55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48514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101" w:name="_Toc27782"/>
      <w:r>
        <w:rPr>
          <w:rFonts w:hint="eastAsia"/>
          <w:lang w:val="en-US" w:eastAsia="zh-CN"/>
        </w:rPr>
        <w:t>9.1.3.2.业务邮箱管理</w:t>
      </w:r>
      <w:bookmarkEnd w:id="101"/>
    </w:p>
    <w:p>
      <w:pPr>
        <w:rPr>
          <w:rFonts w:hint="default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1）【业务邮箱列表】运营人员登录后，进入邮件管理-业务邮箱管理列表，查看</w:t>
      </w:r>
      <w:r>
        <w:rPr>
          <w:rFonts w:hint="eastAsia"/>
          <w:lang w:val="en-US" w:eastAsia="zh-CN"/>
        </w:rPr>
        <w:t>已创建的业务邮件信息</w:t>
      </w: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5271135" cy="1180465"/>
            <wp:effectExtent l="0" t="0" r="12065" b="635"/>
            <wp:docPr id="2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42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2）【新增业务邮箱】点击新增，弹出新增业务邮箱配置页面</w:t>
      </w:r>
    </w:p>
    <w:p>
      <w:pPr>
        <w:bidi w:val="0"/>
      </w:pPr>
      <w:r>
        <w:drawing>
          <wp:inline distT="0" distB="0" distL="114300" distR="114300">
            <wp:extent cx="5268595" cy="2566670"/>
            <wp:effectExtent l="0" t="0" r="1905" b="11430"/>
            <wp:docPr id="26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56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6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3）【编辑业务邮箱】点击编辑，弹出编辑业务邮箱配置页面</w:t>
      </w:r>
    </w:p>
    <w:p>
      <w:pPr>
        <w:bidi w:val="0"/>
      </w:pPr>
      <w:r>
        <w:drawing>
          <wp:inline distT="0" distB="0" distL="114300" distR="114300">
            <wp:extent cx="5264785" cy="1499235"/>
            <wp:effectExtent l="0" t="0" r="5715" b="12065"/>
            <wp:docPr id="26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57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4）【删除业务邮箱】点击删除，弹出删除业务邮箱提示页面，点击确定，删除成功</w:t>
      </w:r>
    </w:p>
    <w:p>
      <w:pPr>
        <w:bidi w:val="0"/>
      </w:pPr>
      <w:r>
        <w:drawing>
          <wp:inline distT="0" distB="0" distL="114300" distR="114300">
            <wp:extent cx="5273675" cy="2005330"/>
            <wp:effectExtent l="0" t="0" r="9525" b="1270"/>
            <wp:docPr id="26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58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5）【启用业务邮箱】点击启用，弹出启用业务邮箱提示页面，点击确定，启用成功。列表状态改为启用，操作列表中展示禁用按钮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3860800" cy="1720850"/>
            <wp:effectExtent l="0" t="0" r="0" b="6350"/>
            <wp:docPr id="27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59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860800" cy="172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6）【停用业务邮箱】点击停用，弹出停用业务邮箱提示页面，点击确定，停用成功。列表状态改为停用，操作列表中展示启用按钮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1803400"/>
            <wp:effectExtent l="0" t="0" r="635" b="0"/>
            <wp:docPr id="27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60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102" w:name="_Toc21168"/>
      <w:r>
        <w:rPr>
          <w:rFonts w:hint="eastAsia"/>
          <w:lang w:val="en-US" w:eastAsia="zh-CN"/>
        </w:rPr>
        <w:t>9.1.3.3.信件类型配置</w:t>
      </w:r>
      <w:bookmarkEnd w:id="102"/>
    </w:p>
    <w:p>
      <w:pPr>
        <w:rPr>
          <w:rFonts w:hint="default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1）【信件类型列表】运营人员登录后，进入邮件管理-信件类型列表，查看</w:t>
      </w:r>
      <w:r>
        <w:rPr>
          <w:rFonts w:hint="eastAsia"/>
          <w:lang w:val="en-US" w:eastAsia="zh-CN"/>
        </w:rPr>
        <w:t>已创建的信件类型信息</w:t>
      </w: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5264785" cy="1692910"/>
            <wp:effectExtent l="0" t="0" r="5715" b="8890"/>
            <wp:docPr id="24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41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69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2）【新增信件类型】点击新增，弹出新增信件类型配置页面</w:t>
      </w:r>
    </w:p>
    <w:p>
      <w:pPr>
        <w:bidi w:val="0"/>
      </w:pPr>
      <w:r>
        <w:drawing>
          <wp:inline distT="0" distB="0" distL="114300" distR="114300">
            <wp:extent cx="5273040" cy="2806700"/>
            <wp:effectExtent l="0" t="0" r="10160" b="0"/>
            <wp:docPr id="272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61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3）【编辑信件类型】点击编辑，弹出编辑信件类型配置页面</w:t>
      </w:r>
    </w:p>
    <w:p>
      <w:pPr>
        <w:bidi w:val="0"/>
      </w:pPr>
      <w:r>
        <w:drawing>
          <wp:inline distT="0" distB="0" distL="114300" distR="114300">
            <wp:extent cx="5273675" cy="2844800"/>
            <wp:effectExtent l="0" t="0" r="9525" b="0"/>
            <wp:docPr id="273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62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4）【删除信件类型】点击删除，弹出删除信件类型提示页面，点击确定，删除成功</w:t>
      </w:r>
    </w:p>
    <w:p>
      <w:pPr>
        <w:bidi w:val="0"/>
      </w:pPr>
      <w:r>
        <w:drawing>
          <wp:inline distT="0" distB="0" distL="114300" distR="114300">
            <wp:extent cx="3282950" cy="2197100"/>
            <wp:effectExtent l="0" t="0" r="6350" b="0"/>
            <wp:docPr id="274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63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328295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5）【启用信件类型】点击启用，弹出启用信件类型提示页面，点击确定，启用成功。列表状态改为启用，操作列表中展示禁用按钮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4845050" cy="2451100"/>
            <wp:effectExtent l="0" t="0" r="6350" b="0"/>
            <wp:docPr id="27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64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484505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6）【停用信件类型】点击停用，弹出停用信件类型提示页面，点击确定，停用成功。列表状态改为停用，操作列表中展示启用按钮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149850" cy="2603500"/>
            <wp:effectExtent l="0" t="0" r="6350" b="0"/>
            <wp:docPr id="276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65"/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14985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103" w:name="_Toc32738"/>
      <w:r>
        <w:rPr>
          <w:rFonts w:hint="eastAsia"/>
          <w:lang w:val="en-US" w:eastAsia="zh-CN"/>
        </w:rPr>
        <w:t>9.1.3.4.收件管理</w:t>
      </w:r>
      <w:bookmarkEnd w:id="103"/>
    </w:p>
    <w:p>
      <w:pPr>
        <w:bidi w:val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1）</w:t>
      </w:r>
      <w:r>
        <w:rPr>
          <w:rFonts w:hint="eastAsia" w:asciiTheme="minorEastAsia" w:hAnsiTheme="minorEastAsia"/>
          <w:lang w:val="en-US" w:eastAsia="zh-CN"/>
        </w:rPr>
        <w:t>运营人员登录后，进入邮件管理-收件管理列表，查看</w:t>
      </w:r>
      <w:r>
        <w:rPr>
          <w:rFonts w:hint="eastAsia"/>
          <w:lang w:val="en-US" w:eastAsia="zh-CN"/>
        </w:rPr>
        <w:t>已创建的收件信息</w:t>
      </w:r>
    </w:p>
    <w:p>
      <w:pPr>
        <w:bidi w:val="0"/>
      </w:pPr>
      <w:r>
        <w:drawing>
          <wp:inline distT="0" distB="0" distL="114300" distR="114300">
            <wp:extent cx="5266690" cy="1697355"/>
            <wp:effectExtent l="0" t="0" r="3810" b="4445"/>
            <wp:docPr id="24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43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9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2）【更新邮件列表】运营人员点击“更新邮件列表”系统自动从配置好的业务邮箱中拉取组织或税局发送的邮件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2249805"/>
            <wp:effectExtent l="0" t="0" r="9525" b="10795"/>
            <wp:docPr id="277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66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3）【处理邮件】运营人员点击‘收件列表’状态为待处理的操作中“处理邮件”，用来标识哪些邮件已经被处理过，点击处理邮件，进入处理邮件信息页面，运营人员根据收件信息确认该邮件是什么类型业务。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605405"/>
            <wp:effectExtent l="0" t="0" r="1270" b="10795"/>
            <wp:docPr id="278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67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4）【发送信件】运营人员点击“发送信件”，进入发送信件页面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614295"/>
            <wp:effectExtent l="0" t="0" r="1270" b="1905"/>
            <wp:docPr id="27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68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7"/>
        </w:numPr>
        <w:bidi w:val="0"/>
        <w:rPr>
          <w:rFonts w:hint="eastAsia" w:asciiTheme="minorEastAsia" w:hAnsiTheme="minorEastAsia"/>
          <w:lang w:val="en-US" w:eastAsia="zh-CN"/>
        </w:rPr>
      </w:pPr>
      <w:r>
        <w:rPr>
          <w:rFonts w:hint="eastAsia"/>
          <w:lang w:val="en-US" w:eastAsia="zh-CN"/>
        </w:rPr>
        <w:t>【关闭信件】运营人员在收件管理列表中发现该邮件，是无用邮件，可以点击“关闭信件”，点击确定后，该信件被关闭，无需再次处理</w:t>
      </w:r>
    </w:p>
    <w:p>
      <w:pPr>
        <w:numPr>
          <w:ilvl w:val="0"/>
          <w:numId w:val="0"/>
        </w:num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3194050" cy="1924050"/>
            <wp:effectExtent l="0" t="0" r="6350" b="6350"/>
            <wp:docPr id="280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69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31940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104" w:name="_Toc31910"/>
      <w:r>
        <w:rPr>
          <w:rFonts w:hint="eastAsia"/>
          <w:lang w:val="en-US" w:eastAsia="zh-CN"/>
        </w:rPr>
        <w:t>9.1.3.5.发件管理</w:t>
      </w:r>
      <w:bookmarkEnd w:id="104"/>
    </w:p>
    <w:p>
      <w:pPr>
        <w:bidi w:val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1）【收件管理】</w:t>
      </w:r>
      <w:r>
        <w:rPr>
          <w:rFonts w:hint="eastAsia" w:asciiTheme="minorEastAsia" w:hAnsiTheme="minorEastAsia"/>
          <w:lang w:val="en-US" w:eastAsia="zh-CN"/>
        </w:rPr>
        <w:t>运营人员登录后，进入邮件管理-发件管理列表，查看</w:t>
      </w:r>
      <w:r>
        <w:rPr>
          <w:rFonts w:hint="eastAsia"/>
          <w:lang w:val="en-US" w:eastAsia="zh-CN"/>
        </w:rPr>
        <w:t>已创建的发件信息</w:t>
      </w: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5269230" cy="1702435"/>
            <wp:effectExtent l="0" t="0" r="1270" b="12065"/>
            <wp:docPr id="24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44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0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2)【批量新增信件】点击批量新增信件，可以为同一个渠道多个客户发送同一业务的信件信息。</w:t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3209925"/>
            <wp:effectExtent l="0" t="0" r="1905" b="3175"/>
            <wp:docPr id="281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70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105" w:name="_Toc20222"/>
      <w:r>
        <w:rPr>
          <w:rFonts w:hint="eastAsia"/>
          <w:lang w:val="en-US" w:eastAsia="zh-CN"/>
        </w:rPr>
        <w:t>9.1.3.6.我的信件</w:t>
      </w:r>
      <w:bookmarkEnd w:id="105"/>
    </w:p>
    <w:p>
      <w:pPr>
        <w:bidi w:val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1）【我的信件】</w:t>
      </w:r>
      <w:r>
        <w:rPr>
          <w:rFonts w:hint="eastAsia" w:asciiTheme="minorEastAsia" w:hAnsiTheme="minorEastAsia"/>
          <w:lang w:val="en-US" w:eastAsia="zh-CN"/>
        </w:rPr>
        <w:t>客户登录后，进入个人中心-我的信件列表，查看</w:t>
      </w:r>
      <w:r>
        <w:rPr>
          <w:rFonts w:hint="eastAsia"/>
          <w:lang w:val="en-US" w:eastAsia="zh-CN"/>
        </w:rPr>
        <w:t>已创建的信件信息</w:t>
      </w:r>
    </w:p>
    <w:p>
      <w:pPr>
        <w:bidi w:val="0"/>
      </w:pP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1878330"/>
            <wp:effectExtent l="0" t="0" r="9525" b="1270"/>
            <wp:docPr id="282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71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7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pStyle w:val="2"/>
        <w:bidi w:val="0"/>
        <w:outlineLvl w:val="0"/>
        <w:rPr>
          <w:rFonts w:hint="eastAsia"/>
          <w:lang w:val="en-US" w:eastAsia="zh-CN"/>
        </w:rPr>
      </w:pPr>
      <w:bookmarkStart w:id="106" w:name="_Toc15612"/>
      <w:r>
        <w:rPr>
          <w:rFonts w:hint="eastAsia"/>
          <w:lang w:val="en-US" w:eastAsia="zh-CN"/>
        </w:rPr>
        <w:t>10、财务管理</w:t>
      </w:r>
      <w:bookmarkEnd w:id="106"/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107" w:name="_Toc18207"/>
      <w:r>
        <w:rPr>
          <w:rFonts w:hint="eastAsia"/>
          <w:lang w:val="en-US" w:eastAsia="zh-CN"/>
        </w:rPr>
        <w:t>10.1.1功能介绍</w:t>
      </w:r>
      <w:bookmarkEnd w:id="107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财务管理是指对渠道或代理账单进行管理的功能模块。主要包含渠道商账单、渠道订单明细、代理商账单、代理订单明细。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108" w:name="_Toc25301"/>
      <w:r>
        <w:rPr>
          <w:rFonts w:hint="eastAsia"/>
          <w:lang w:val="en-US" w:eastAsia="zh-CN"/>
        </w:rPr>
        <w:t>10.1.2操作说明</w:t>
      </w:r>
      <w:bookmarkEnd w:id="108"/>
    </w:p>
    <w:p>
      <w:r>
        <w:drawing>
          <wp:inline distT="0" distB="0" distL="114300" distR="114300">
            <wp:extent cx="5264785" cy="2061210"/>
            <wp:effectExtent l="0" t="0" r="5715" b="8890"/>
            <wp:docPr id="285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74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6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109" w:name="_Toc32262"/>
      <w:r>
        <w:rPr>
          <w:rFonts w:hint="eastAsia"/>
          <w:lang w:val="en-US" w:eastAsia="zh-CN"/>
        </w:rPr>
        <w:t>10.1.3功能说明</w:t>
      </w:r>
      <w:bookmarkEnd w:id="109"/>
    </w:p>
    <w:p>
      <w:pPr>
        <w:bidi w:val="0"/>
        <w:rPr>
          <w:rFonts w:hint="eastAsia"/>
          <w:lang w:val="en-US" w:eastAsia="zh-CN"/>
        </w:rPr>
      </w:pP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110" w:name="_Toc19309"/>
      <w:r>
        <w:rPr>
          <w:rFonts w:hint="eastAsia"/>
          <w:lang w:val="en-US" w:eastAsia="zh-CN"/>
        </w:rPr>
        <w:t>10.1.3.1.渠道商账单</w:t>
      </w:r>
      <w:bookmarkEnd w:id="110"/>
    </w:p>
    <w:p>
      <w:pPr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1）【渠道商账单】每月1日，按各渠道对应的推荐客户已成功支付的订单，系统自动生成未生效的账单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1698625"/>
            <wp:effectExtent l="0" t="0" r="4445" b="3175"/>
            <wp:docPr id="24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45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2）【生成账单】在财务中心-渠道商账单-列表中，点击未生效状态下的操作栏中的“生成账单”</w:t>
      </w:r>
    </w:p>
    <w:p>
      <w:pPr>
        <w:bidi w:val="0"/>
      </w:pPr>
      <w:r>
        <w:drawing>
          <wp:inline distT="0" distB="0" distL="114300" distR="114300">
            <wp:extent cx="5269865" cy="2349500"/>
            <wp:effectExtent l="0" t="0" r="635" b="0"/>
            <wp:docPr id="286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75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3）【平台确认账单】在财务中心-渠道商账单-列表中，点击“AVA确认中”状态下的操作栏中的“确认账单”</w:t>
      </w:r>
    </w:p>
    <w:p>
      <w:pPr>
        <w:bidi w:val="0"/>
      </w:pPr>
      <w:r>
        <w:drawing>
          <wp:inline distT="0" distB="0" distL="114300" distR="114300">
            <wp:extent cx="5268595" cy="2602230"/>
            <wp:effectExtent l="0" t="0" r="1905" b="1270"/>
            <wp:docPr id="287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76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4）【渠道确认账单】渠道商在财务中心-渠道商账单-列表中，点击“渠道商确认中”状态下的操作栏中的“确认账单”</w:t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65420" cy="1522095"/>
            <wp:effectExtent l="0" t="0" r="5080" b="1905"/>
            <wp:docPr id="288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77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52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5）【上传发票】渠道商在财务中心-渠道商账单-列表中，点击“待开票”状态下的操作栏中的“上传发票”，上传已开好的发票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055" cy="3272790"/>
            <wp:effectExtent l="0" t="0" r="4445" b="3810"/>
            <wp:docPr id="289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78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7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6）【确认收票】运营人员在财务中心-渠道商账单-列表中，点击“发票确认中”状态下的操作栏中的“确认收票”，查看已开好的发票并点击提交。</w:t>
      </w:r>
    </w:p>
    <w:p>
      <w:pPr>
        <w:numPr>
          <w:ilvl w:val="0"/>
          <w:numId w:val="0"/>
        </w:numPr>
        <w:bidi w:val="0"/>
        <w:ind w:leftChars="0"/>
      </w:pPr>
      <w:r>
        <w:drawing>
          <wp:inline distT="0" distB="0" distL="114300" distR="114300">
            <wp:extent cx="5265420" cy="1997710"/>
            <wp:effectExtent l="0" t="0" r="5080" b="8890"/>
            <wp:docPr id="290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79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99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7）【上传付款凭证】运营人员在财务中心-渠道商账单-列表中，点击“发票已确认”状态下的操作栏中的“上传付款凭证”，上传已付款的凭证并提交。</w:t>
      </w:r>
    </w:p>
    <w:p>
      <w:pPr>
        <w:bidi w:val="0"/>
      </w:pPr>
      <w:r>
        <w:drawing>
          <wp:inline distT="0" distB="0" distL="114300" distR="114300">
            <wp:extent cx="5269865" cy="2371090"/>
            <wp:effectExtent l="0" t="0" r="635" b="3810"/>
            <wp:docPr id="292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81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8）【查看付款凭证】渠道商在财务中心-渠道商账单-列表中，点击“已结算”状态下的操作栏中的“付款凭证”，查看已上传的付款凭证。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1469390"/>
            <wp:effectExtent l="0" t="0" r="3810" b="3810"/>
            <wp:docPr id="29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82"/>
                    <pic:cNvPicPr>
                      <a:picLocks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6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111" w:name="_Toc2166"/>
      <w:r>
        <w:rPr>
          <w:rFonts w:hint="eastAsia"/>
          <w:lang w:val="en-US" w:eastAsia="zh-CN"/>
        </w:rPr>
        <w:t>10.1.3.2.渠道订单明细</w:t>
      </w:r>
      <w:bookmarkEnd w:id="111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1）支持下载结算明细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2）支持把未结算的订单剔除结算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3）可查看该订单对应的服务单的服务</w:t>
      </w: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5263515" cy="1747520"/>
            <wp:effectExtent l="0" t="0" r="6985" b="5080"/>
            <wp:docPr id="24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47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4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eastAsia"/>
          <w:lang w:val="en-US" w:eastAsia="zh-CN"/>
        </w:rPr>
      </w:pPr>
      <w:bookmarkStart w:id="112" w:name="_Toc6925"/>
      <w:r>
        <w:rPr>
          <w:rFonts w:hint="eastAsia"/>
          <w:lang w:val="en-US" w:eastAsia="zh-CN"/>
        </w:rPr>
        <w:t>10.1.3.2.代理商账单</w:t>
      </w:r>
      <w:bookmarkEnd w:id="112"/>
    </w:p>
    <w:p>
      <w:pPr>
        <w:bidi w:val="0"/>
      </w:pPr>
    </w:p>
    <w:p>
      <w:pPr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1）【代理商账单】每月1日，按各代理商提交的服务单（状态：处理中）的订单，系统自动生成未生效的账单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1785620"/>
            <wp:effectExtent l="0" t="0" r="12065" b="5080"/>
            <wp:docPr id="24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46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2）【生成账单】在财务中心-代理商账单-列表中，点击未生效状态下的操作栏中的“生成账单”</w:t>
      </w:r>
    </w:p>
    <w:p>
      <w:pPr>
        <w:bidi w:val="0"/>
      </w:pPr>
      <w:r>
        <w:drawing>
          <wp:inline distT="0" distB="0" distL="114300" distR="114300">
            <wp:extent cx="5273675" cy="2221865"/>
            <wp:effectExtent l="0" t="0" r="9525" b="635"/>
            <wp:docPr id="30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83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2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3）【平台确认账单】在财务中心-代理商账单-列表中，点击“AVA确认中”状态下的操作栏中的“确认账单”</w:t>
      </w:r>
    </w:p>
    <w:p>
      <w:pPr>
        <w:bidi w:val="0"/>
      </w:pPr>
      <w:r>
        <w:drawing>
          <wp:inline distT="0" distB="0" distL="114300" distR="114300">
            <wp:extent cx="5266055" cy="2287905"/>
            <wp:effectExtent l="0" t="0" r="4445" b="10795"/>
            <wp:docPr id="30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84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4）【代理确认账单】代理商在财务中心-代理商账单-列表中，点击“代理商确认中”状态下的操作栏中的“确认账单”</w:t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71770" cy="1570990"/>
            <wp:effectExtent l="0" t="0" r="11430" b="3810"/>
            <wp:docPr id="30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85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57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5）【上传付款凭证】代理商在财务中心-代理商账单-列表中，点击“待付款”状态下的操作栏中的“上传付款凭证”，上传已付款的凭证并提交。</w:t>
      </w:r>
    </w:p>
    <w:p>
      <w:pPr>
        <w:bidi w:val="0"/>
      </w:pPr>
      <w:r>
        <w:drawing>
          <wp:inline distT="0" distB="0" distL="114300" distR="114300">
            <wp:extent cx="5265420" cy="1584325"/>
            <wp:effectExtent l="0" t="0" r="5080" b="3175"/>
            <wp:docPr id="30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86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64150" cy="2423795"/>
            <wp:effectExtent l="0" t="0" r="6350" b="1905"/>
            <wp:docPr id="30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88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6）【确认收款】代理商在财务中心-代理商账单-列表中，点击“付款确认中”状态下的操作栏中的“确认收款”，查看代理商已上传的付款凭证并点击确认。</w:t>
      </w:r>
    </w:p>
    <w:p>
      <w:pPr>
        <w:bidi w:val="0"/>
      </w:pPr>
      <w:r>
        <w:drawing>
          <wp:inline distT="0" distB="0" distL="114300" distR="114300">
            <wp:extent cx="5266690" cy="2142490"/>
            <wp:effectExtent l="0" t="0" r="3810" b="3810"/>
            <wp:docPr id="30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89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4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7）【申请开票】代理商在财务中心-代理商账单-列表中，点击“已付款”状态下的操作栏中的“申请开票”，并提交发票信息</w:t>
      </w:r>
    </w:p>
    <w:p>
      <w:r>
        <w:drawing>
          <wp:inline distT="0" distB="0" distL="114300" distR="114300">
            <wp:extent cx="5268595" cy="2162175"/>
            <wp:effectExtent l="0" t="0" r="1905" b="9525"/>
            <wp:docPr id="31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90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6）【上传发票】运营人员在财务中心-代理商账单-列表中，点击“开票中”状态下的操作栏中的“上传发票”，上传已开好的发票并点击提交。</w:t>
      </w:r>
    </w:p>
    <w:p>
      <w:pPr>
        <w:bidi w:val="0"/>
      </w:pPr>
      <w:r>
        <w:drawing>
          <wp:inline distT="0" distB="0" distL="114300" distR="114300">
            <wp:extent cx="5270500" cy="2310130"/>
            <wp:effectExtent l="0" t="0" r="0" b="1270"/>
            <wp:docPr id="31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91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8）【申请开票】代理商在财务中心-代理商账单-列表中，点击“已结算”状态下的操作栏中的“查看发票”，查看平台提交发票信息</w:t>
      </w:r>
    </w:p>
    <w:p>
      <w:pPr>
        <w:bidi w:val="0"/>
      </w:pPr>
      <w:r>
        <w:drawing>
          <wp:inline distT="0" distB="0" distL="114300" distR="114300">
            <wp:extent cx="5267325" cy="1798955"/>
            <wp:effectExtent l="0" t="0" r="3175" b="4445"/>
            <wp:docPr id="31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92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outlineLvl w:val="2"/>
        <w:rPr>
          <w:rFonts w:hint="default"/>
          <w:lang w:val="en-US" w:eastAsia="zh-CN"/>
        </w:rPr>
      </w:pPr>
      <w:bookmarkStart w:id="113" w:name="_Toc6627"/>
      <w:r>
        <w:rPr>
          <w:rFonts w:hint="eastAsia"/>
          <w:lang w:val="en-US" w:eastAsia="zh-CN"/>
        </w:rPr>
        <w:t>10.1.3.4.代理订单明细</w:t>
      </w:r>
      <w:bookmarkEnd w:id="113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1）支持下载结算明细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2）支持把未结算的订单剔除结算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3）可查看该订单对应的服务单的服务</w:t>
      </w:r>
    </w:p>
    <w:p>
      <w:pPr>
        <w:bidi w:val="0"/>
      </w:pP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1741170"/>
            <wp:effectExtent l="0" t="0" r="3810" b="11430"/>
            <wp:docPr id="24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48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8"/>
        </w:numPr>
        <w:bidi w:val="0"/>
        <w:outlineLvl w:val="0"/>
        <w:rPr>
          <w:rFonts w:hint="eastAsia"/>
          <w:lang w:val="en-US" w:eastAsia="zh-CN"/>
        </w:rPr>
      </w:pPr>
      <w:bookmarkStart w:id="114" w:name="_Toc32381"/>
      <w:r>
        <w:rPr>
          <w:rFonts w:hint="eastAsia"/>
          <w:lang w:val="en-US" w:eastAsia="zh-CN"/>
        </w:rPr>
        <w:t>续费管理</w:t>
      </w:r>
      <w:bookmarkEnd w:id="114"/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115" w:name="_Toc24208"/>
      <w:r>
        <w:rPr>
          <w:rFonts w:hint="eastAsia"/>
          <w:lang w:val="en-US" w:eastAsia="zh-CN"/>
        </w:rPr>
        <w:t>11.1.1功能介绍</w:t>
      </w:r>
      <w:bookmarkEnd w:id="115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续费管理：是指已购买服务的税号和注册号的公司在服务到期后，需要续费的操作。</w:t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116" w:name="_Toc16678"/>
      <w:r>
        <w:rPr>
          <w:rFonts w:hint="eastAsia"/>
          <w:lang w:val="en-US" w:eastAsia="zh-CN"/>
        </w:rPr>
        <w:t>11.1.2操作说明</w:t>
      </w:r>
      <w:bookmarkEnd w:id="116"/>
    </w:p>
    <w:p/>
    <w:p>
      <w:r>
        <w:drawing>
          <wp:inline distT="0" distB="0" distL="114300" distR="114300">
            <wp:extent cx="5266055" cy="1952625"/>
            <wp:effectExtent l="0" t="0" r="4445" b="3175"/>
            <wp:docPr id="25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49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eastAsia"/>
          <w:lang w:val="en-US" w:eastAsia="zh-CN"/>
        </w:rPr>
      </w:pPr>
      <w:bookmarkStart w:id="117" w:name="_Toc19365"/>
      <w:r>
        <w:rPr>
          <w:rFonts w:hint="eastAsia"/>
          <w:lang w:val="en-US" w:eastAsia="zh-CN"/>
        </w:rPr>
        <w:t>11.1.3功能说明</w:t>
      </w:r>
      <w:bookmarkEnd w:id="117"/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1）【续费管理】根据税号或注册号的服务到期日生成续费管理列表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325" cy="2363470"/>
            <wp:effectExtent l="0" t="0" r="3175" b="11430"/>
            <wp:docPr id="31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图片 93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2）【续费】客户在续费管理-列表中，点击操作栏中的“续费”，进入续费详情页面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317750"/>
            <wp:effectExtent l="0" t="0" r="3810" b="6350"/>
            <wp:docPr id="32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图片 100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3）【立即购买】客户在续费详情页面，点击立即购买，德国包装法/WEEE/电池法需要额外填写申报信息，如包装类型，申报重量，电池类型等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770" cy="2472055"/>
            <wp:effectExtent l="0" t="0" r="11430" b="4445"/>
            <wp:docPr id="31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94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7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0500" cy="2709545"/>
            <wp:effectExtent l="0" t="0" r="0" b="8255"/>
            <wp:docPr id="32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101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德国-包装法</w:t>
      </w:r>
      <w:r>
        <w:rPr>
          <w:rFonts w:hint="eastAsia"/>
          <w:lang w:eastAsia="zh-CN"/>
        </w:rPr>
        <w:t>】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5271770" cy="2555240"/>
            <wp:effectExtent l="0" t="0" r="11430" b="10160"/>
            <wp:docPr id="32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图片 102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5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德国-WEEE</w:t>
      </w:r>
      <w:r>
        <w:rPr>
          <w:rFonts w:hint="eastAsia"/>
          <w:lang w:eastAsia="zh-CN"/>
        </w:rPr>
        <w:t>】</w:t>
      </w:r>
    </w:p>
    <w:p>
      <w:pPr>
        <w:numPr>
          <w:ilvl w:val="0"/>
          <w:numId w:val="0"/>
        </w:numPr>
        <w:jc w:val="center"/>
        <w:rPr>
          <w:rFonts w:hint="eastAsia"/>
          <w:lang w:eastAsia="zh-CN"/>
        </w:rPr>
      </w:pP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5267960" cy="2819400"/>
            <wp:effectExtent l="0" t="0" r="2540" b="0"/>
            <wp:docPr id="32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图片 103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【德国-电池法】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【提交订单】客户在提交订单页面，点击立即购买提交，跳转到支付页面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3348355"/>
            <wp:effectExtent l="0" t="0" r="12065" b="4445"/>
            <wp:docPr id="31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95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【支付】客户在支付页面，选择支付渠道，这里以线下支付方式为例，填写付款账户、上传付款凭证，点击立提交，等待财务审核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832985" cy="4724400"/>
            <wp:effectExtent l="0" t="0" r="5715" b="0"/>
            <wp:docPr id="31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96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4832985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【支付财务】运营人员在商城后台-订单-订单列表中，选择该订单，进入该订单详情，确认支付情况，完成财务审核操作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1720215"/>
            <wp:effectExtent l="0" t="0" r="635" b="6985"/>
            <wp:docPr id="31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图片 97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【生成服务单】运营人员点击财务审核后，系统自动生成服务单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150" cy="2205990"/>
            <wp:effectExtent l="0" t="0" r="6350" b="3810"/>
            <wp:docPr id="31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图片 98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0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7）【更新服务到期日】运营人员点击财务审核后，系统自动生成服务单，VAT服务单状态：已完成，并同时更新VAT税号的服务到期日；EPR需要走提交资料流程，直至完成服务。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2880" cy="1355090"/>
            <wp:effectExtent l="0" t="0" r="7620" b="3810"/>
            <wp:docPr id="31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图片 99"/>
                    <pic:cNvPicPr>
                      <a:picLocks noChangeAspect="1"/>
                    </pic:cNvPicPr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35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0B9D28"/>
    <w:multiLevelType w:val="singleLevel"/>
    <w:tmpl w:val="920B9D28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BA7BA5AD"/>
    <w:multiLevelType w:val="singleLevel"/>
    <w:tmpl w:val="BA7BA5AD"/>
    <w:lvl w:ilvl="0" w:tentative="0">
      <w:start w:val="2"/>
      <w:numFmt w:val="decimal"/>
      <w:suff w:val="nothing"/>
      <w:lvlText w:val="%1）"/>
      <w:lvlJc w:val="left"/>
    </w:lvl>
  </w:abstractNum>
  <w:abstractNum w:abstractNumId="2">
    <w:nsid w:val="E2595B92"/>
    <w:multiLevelType w:val="singleLevel"/>
    <w:tmpl w:val="E2595B9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E612D7E0"/>
    <w:multiLevelType w:val="singleLevel"/>
    <w:tmpl w:val="E612D7E0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4">
    <w:nsid w:val="EC4ECAFB"/>
    <w:multiLevelType w:val="singleLevel"/>
    <w:tmpl w:val="EC4ECAFB"/>
    <w:lvl w:ilvl="0" w:tentative="0">
      <w:start w:val="6"/>
      <w:numFmt w:val="decimal"/>
      <w:suff w:val="nothing"/>
      <w:lvlText w:val="%1）"/>
      <w:lvlJc w:val="left"/>
    </w:lvl>
  </w:abstractNum>
  <w:abstractNum w:abstractNumId="5">
    <w:nsid w:val="26FE600F"/>
    <w:multiLevelType w:val="singleLevel"/>
    <w:tmpl w:val="26FE600F"/>
    <w:lvl w:ilvl="0" w:tentative="0">
      <w:start w:val="11"/>
      <w:numFmt w:val="decimal"/>
      <w:suff w:val="nothing"/>
      <w:lvlText w:val="%1、"/>
      <w:lvlJc w:val="left"/>
    </w:lvl>
  </w:abstractNum>
  <w:abstractNum w:abstractNumId="6">
    <w:nsid w:val="4572C9C3"/>
    <w:multiLevelType w:val="singleLevel"/>
    <w:tmpl w:val="4572C9C3"/>
    <w:lvl w:ilvl="0" w:tentative="0">
      <w:start w:val="5"/>
      <w:numFmt w:val="decimal"/>
      <w:suff w:val="nothing"/>
      <w:lvlText w:val="%1）"/>
      <w:lvlJc w:val="left"/>
    </w:lvl>
  </w:abstractNum>
  <w:abstractNum w:abstractNumId="7">
    <w:nsid w:val="6908DD14"/>
    <w:multiLevelType w:val="singleLevel"/>
    <w:tmpl w:val="6908DD14"/>
    <w:lvl w:ilvl="0" w:tentative="0">
      <w:start w:val="5"/>
      <w:numFmt w:val="decimal"/>
      <w:suff w:val="nothing"/>
      <w:lvlText w:val="%1）"/>
      <w:lvlJc w:val="left"/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4"/>
  </w:num>
  <w:num w:numId="5">
    <w:abstractNumId w:val="0"/>
  </w:num>
  <w:num w:numId="6">
    <w:abstractNumId w:val="7"/>
  </w:num>
  <w:num w:numId="7">
    <w:abstractNumId w:val="6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k5ZmZiZGQ1MjI5MGUxM2E5NTUxZjc4MTQwNjc1NDMifQ=="/>
  </w:docVars>
  <w:rsids>
    <w:rsidRoot w:val="61B64160"/>
    <w:rsid w:val="049C7DEF"/>
    <w:rsid w:val="05D04CC7"/>
    <w:rsid w:val="064D4714"/>
    <w:rsid w:val="09752A4E"/>
    <w:rsid w:val="0B4A286B"/>
    <w:rsid w:val="17E71AFE"/>
    <w:rsid w:val="18C524F2"/>
    <w:rsid w:val="1A0469DA"/>
    <w:rsid w:val="1B1E5E7B"/>
    <w:rsid w:val="23575F36"/>
    <w:rsid w:val="24594F5D"/>
    <w:rsid w:val="25484841"/>
    <w:rsid w:val="25C036C1"/>
    <w:rsid w:val="297D417E"/>
    <w:rsid w:val="2D5072B9"/>
    <w:rsid w:val="2E056020"/>
    <w:rsid w:val="2FAD2601"/>
    <w:rsid w:val="2FC248D9"/>
    <w:rsid w:val="323A07C7"/>
    <w:rsid w:val="34B80947"/>
    <w:rsid w:val="3882287D"/>
    <w:rsid w:val="3E990580"/>
    <w:rsid w:val="3F261A88"/>
    <w:rsid w:val="40EC27D7"/>
    <w:rsid w:val="43EE1C82"/>
    <w:rsid w:val="452D542B"/>
    <w:rsid w:val="453F5A4A"/>
    <w:rsid w:val="482A226B"/>
    <w:rsid w:val="489D725F"/>
    <w:rsid w:val="4A5E1689"/>
    <w:rsid w:val="4B0E7B74"/>
    <w:rsid w:val="4D2000CA"/>
    <w:rsid w:val="4FF9617B"/>
    <w:rsid w:val="50F05BC6"/>
    <w:rsid w:val="519E2A03"/>
    <w:rsid w:val="52ED4095"/>
    <w:rsid w:val="58744C1A"/>
    <w:rsid w:val="59213594"/>
    <w:rsid w:val="5DF64B24"/>
    <w:rsid w:val="61B64160"/>
    <w:rsid w:val="679E0532"/>
    <w:rsid w:val="68513367"/>
    <w:rsid w:val="68A34D82"/>
    <w:rsid w:val="6A1D1B56"/>
    <w:rsid w:val="6CAD4A62"/>
    <w:rsid w:val="7324537F"/>
    <w:rsid w:val="748309C8"/>
    <w:rsid w:val="7A723144"/>
    <w:rsid w:val="7F052E8D"/>
    <w:rsid w:val="7F1377B9"/>
    <w:rsid w:val="7FBE5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4">
    <w:name w:val="heading 4"/>
    <w:basedOn w:val="1"/>
    <w:next w:val="1"/>
    <w:link w:val="1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5">
    <w:name w:val="heading 5"/>
    <w:basedOn w:val="1"/>
    <w:next w:val="1"/>
    <w:autoRedefine/>
    <w:semiHidden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character" w:default="1" w:styleId="10">
    <w:name w:val="Default Paragraph Font"/>
    <w:autoRedefine/>
    <w:semiHidden/>
    <w:qFormat/>
    <w:uiPriority w:val="0"/>
  </w:style>
  <w:style w:type="table" w:default="1" w:styleId="9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Calibri" w:hAnsi="Calibri" w:eastAsia="宋体" w:cs="Times New Roman"/>
      <w:sz w:val="18"/>
    </w:rPr>
  </w:style>
  <w:style w:type="paragraph" w:styleId="7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rFonts w:ascii="Calibri" w:hAnsi="Calibri" w:eastAsia="宋体" w:cs="Times New Roman"/>
      <w:sz w:val="18"/>
    </w:rPr>
  </w:style>
  <w:style w:type="paragraph" w:styleId="8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rFonts w:ascii="Calibri" w:hAnsi="Calibri" w:eastAsia="宋体" w:cs="Times New Roman"/>
      <w:kern w:val="0"/>
      <w:sz w:val="24"/>
      <w:lang w:val="en-US" w:eastAsia="zh-CN" w:bidi="ar"/>
    </w:rPr>
  </w:style>
  <w:style w:type="character" w:customStyle="1" w:styleId="11">
    <w:name w:val="标题 4 Char"/>
    <w:link w:val="4"/>
    <w:autoRedefine/>
    <w:qFormat/>
    <w:uiPriority w:val="0"/>
    <w:rPr>
      <w:rFonts w:ascii="Arial" w:hAnsi="Arial" w:eastAsia="黑体"/>
      <w:b/>
      <w:sz w:val="28"/>
    </w:rPr>
  </w:style>
  <w:style w:type="paragraph" w:customStyle="1" w:styleId="12">
    <w:name w:val="WPSOffice手动目录 2"/>
    <w:autoRedefine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3">
    <w:name w:val="WPSOffice手动目录 3"/>
    <w:autoRedefine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4">
    <w:name w:val="WPSOffice手动目录 1"/>
    <w:autoRedefine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4" Type="http://schemas.openxmlformats.org/officeDocument/2006/relationships/fontTable" Target="fontTable.xml"/><Relationship Id="rId273" Type="http://schemas.openxmlformats.org/officeDocument/2006/relationships/numbering" Target="numbering.xml"/><Relationship Id="rId272" Type="http://schemas.openxmlformats.org/officeDocument/2006/relationships/customXml" Target="../customXml/item1.xml"/><Relationship Id="rId271" Type="http://schemas.openxmlformats.org/officeDocument/2006/relationships/image" Target="media/image268.png"/><Relationship Id="rId270" Type="http://schemas.openxmlformats.org/officeDocument/2006/relationships/image" Target="media/image267.png"/><Relationship Id="rId27" Type="http://schemas.openxmlformats.org/officeDocument/2006/relationships/image" Target="media/image24.png"/><Relationship Id="rId269" Type="http://schemas.openxmlformats.org/officeDocument/2006/relationships/image" Target="media/image266.png"/><Relationship Id="rId268" Type="http://schemas.openxmlformats.org/officeDocument/2006/relationships/image" Target="media/image265.png"/><Relationship Id="rId267" Type="http://schemas.openxmlformats.org/officeDocument/2006/relationships/image" Target="media/image264.png"/><Relationship Id="rId266" Type="http://schemas.openxmlformats.org/officeDocument/2006/relationships/image" Target="media/image263.png"/><Relationship Id="rId265" Type="http://schemas.openxmlformats.org/officeDocument/2006/relationships/image" Target="media/image262.png"/><Relationship Id="rId264" Type="http://schemas.openxmlformats.org/officeDocument/2006/relationships/image" Target="media/image261.png"/><Relationship Id="rId263" Type="http://schemas.openxmlformats.org/officeDocument/2006/relationships/image" Target="media/image260.png"/><Relationship Id="rId262" Type="http://schemas.openxmlformats.org/officeDocument/2006/relationships/image" Target="media/image259.png"/><Relationship Id="rId261" Type="http://schemas.openxmlformats.org/officeDocument/2006/relationships/image" Target="media/image258.png"/><Relationship Id="rId260" Type="http://schemas.openxmlformats.org/officeDocument/2006/relationships/image" Target="media/image257.png"/><Relationship Id="rId26" Type="http://schemas.openxmlformats.org/officeDocument/2006/relationships/image" Target="media/image23.png"/><Relationship Id="rId259" Type="http://schemas.openxmlformats.org/officeDocument/2006/relationships/image" Target="media/image256.png"/><Relationship Id="rId258" Type="http://schemas.openxmlformats.org/officeDocument/2006/relationships/image" Target="media/image255.png"/><Relationship Id="rId257" Type="http://schemas.openxmlformats.org/officeDocument/2006/relationships/image" Target="media/image254.png"/><Relationship Id="rId256" Type="http://schemas.openxmlformats.org/officeDocument/2006/relationships/image" Target="media/image253.png"/><Relationship Id="rId255" Type="http://schemas.openxmlformats.org/officeDocument/2006/relationships/image" Target="media/image252.png"/><Relationship Id="rId254" Type="http://schemas.openxmlformats.org/officeDocument/2006/relationships/image" Target="media/image251.png"/><Relationship Id="rId253" Type="http://schemas.openxmlformats.org/officeDocument/2006/relationships/image" Target="media/image250.png"/><Relationship Id="rId252" Type="http://schemas.openxmlformats.org/officeDocument/2006/relationships/image" Target="media/image249.png"/><Relationship Id="rId251" Type="http://schemas.openxmlformats.org/officeDocument/2006/relationships/image" Target="media/image248.png"/><Relationship Id="rId250" Type="http://schemas.openxmlformats.org/officeDocument/2006/relationships/image" Target="media/image247.png"/><Relationship Id="rId25" Type="http://schemas.openxmlformats.org/officeDocument/2006/relationships/image" Target="media/image22.png"/><Relationship Id="rId249" Type="http://schemas.openxmlformats.org/officeDocument/2006/relationships/image" Target="media/image246.png"/><Relationship Id="rId248" Type="http://schemas.openxmlformats.org/officeDocument/2006/relationships/image" Target="media/image245.png"/><Relationship Id="rId247" Type="http://schemas.openxmlformats.org/officeDocument/2006/relationships/image" Target="media/image244.png"/><Relationship Id="rId246" Type="http://schemas.openxmlformats.org/officeDocument/2006/relationships/image" Target="media/image243.png"/><Relationship Id="rId245" Type="http://schemas.openxmlformats.org/officeDocument/2006/relationships/image" Target="media/image242.png"/><Relationship Id="rId244" Type="http://schemas.openxmlformats.org/officeDocument/2006/relationships/image" Target="media/image241.png"/><Relationship Id="rId243" Type="http://schemas.openxmlformats.org/officeDocument/2006/relationships/image" Target="media/image240.png"/><Relationship Id="rId242" Type="http://schemas.openxmlformats.org/officeDocument/2006/relationships/image" Target="media/image239.png"/><Relationship Id="rId241" Type="http://schemas.openxmlformats.org/officeDocument/2006/relationships/image" Target="media/image238.png"/><Relationship Id="rId240" Type="http://schemas.openxmlformats.org/officeDocument/2006/relationships/image" Target="media/image237.png"/><Relationship Id="rId24" Type="http://schemas.openxmlformats.org/officeDocument/2006/relationships/image" Target="media/image21.png"/><Relationship Id="rId239" Type="http://schemas.openxmlformats.org/officeDocument/2006/relationships/image" Target="media/image236.png"/><Relationship Id="rId238" Type="http://schemas.openxmlformats.org/officeDocument/2006/relationships/image" Target="media/image235.png"/><Relationship Id="rId237" Type="http://schemas.openxmlformats.org/officeDocument/2006/relationships/image" Target="media/image234.png"/><Relationship Id="rId236" Type="http://schemas.openxmlformats.org/officeDocument/2006/relationships/image" Target="media/image233.png"/><Relationship Id="rId235" Type="http://schemas.openxmlformats.org/officeDocument/2006/relationships/image" Target="media/image232.png"/><Relationship Id="rId234" Type="http://schemas.openxmlformats.org/officeDocument/2006/relationships/image" Target="media/image231.png"/><Relationship Id="rId233" Type="http://schemas.openxmlformats.org/officeDocument/2006/relationships/image" Target="media/image230.png"/><Relationship Id="rId232" Type="http://schemas.openxmlformats.org/officeDocument/2006/relationships/image" Target="media/image229.png"/><Relationship Id="rId231" Type="http://schemas.openxmlformats.org/officeDocument/2006/relationships/image" Target="media/image228.png"/><Relationship Id="rId230" Type="http://schemas.openxmlformats.org/officeDocument/2006/relationships/image" Target="media/image227.png"/><Relationship Id="rId23" Type="http://schemas.openxmlformats.org/officeDocument/2006/relationships/image" Target="media/image20.png"/><Relationship Id="rId229" Type="http://schemas.openxmlformats.org/officeDocument/2006/relationships/image" Target="media/image226.png"/><Relationship Id="rId228" Type="http://schemas.openxmlformats.org/officeDocument/2006/relationships/image" Target="media/image225.png"/><Relationship Id="rId227" Type="http://schemas.openxmlformats.org/officeDocument/2006/relationships/image" Target="media/image224.png"/><Relationship Id="rId226" Type="http://schemas.openxmlformats.org/officeDocument/2006/relationships/image" Target="media/image223.png"/><Relationship Id="rId225" Type="http://schemas.openxmlformats.org/officeDocument/2006/relationships/image" Target="media/image222.png"/><Relationship Id="rId224" Type="http://schemas.openxmlformats.org/officeDocument/2006/relationships/image" Target="media/image221.png"/><Relationship Id="rId223" Type="http://schemas.openxmlformats.org/officeDocument/2006/relationships/image" Target="media/image220.png"/><Relationship Id="rId222" Type="http://schemas.openxmlformats.org/officeDocument/2006/relationships/image" Target="media/image219.png"/><Relationship Id="rId221" Type="http://schemas.openxmlformats.org/officeDocument/2006/relationships/image" Target="media/image218.png"/><Relationship Id="rId220" Type="http://schemas.openxmlformats.org/officeDocument/2006/relationships/image" Target="media/image217.png"/><Relationship Id="rId22" Type="http://schemas.openxmlformats.org/officeDocument/2006/relationships/image" Target="media/image19.png"/><Relationship Id="rId219" Type="http://schemas.openxmlformats.org/officeDocument/2006/relationships/image" Target="media/image216.png"/><Relationship Id="rId218" Type="http://schemas.openxmlformats.org/officeDocument/2006/relationships/image" Target="media/image215.png"/><Relationship Id="rId217" Type="http://schemas.openxmlformats.org/officeDocument/2006/relationships/image" Target="media/image214.png"/><Relationship Id="rId216" Type="http://schemas.openxmlformats.org/officeDocument/2006/relationships/image" Target="media/image213.png"/><Relationship Id="rId215" Type="http://schemas.openxmlformats.org/officeDocument/2006/relationships/image" Target="media/image212.png"/><Relationship Id="rId214" Type="http://schemas.openxmlformats.org/officeDocument/2006/relationships/image" Target="media/image211.png"/><Relationship Id="rId213" Type="http://schemas.openxmlformats.org/officeDocument/2006/relationships/image" Target="media/image210.png"/><Relationship Id="rId212" Type="http://schemas.openxmlformats.org/officeDocument/2006/relationships/image" Target="media/image209.png"/><Relationship Id="rId211" Type="http://schemas.openxmlformats.org/officeDocument/2006/relationships/image" Target="media/image208.png"/><Relationship Id="rId210" Type="http://schemas.openxmlformats.org/officeDocument/2006/relationships/image" Target="media/image207.png"/><Relationship Id="rId21" Type="http://schemas.openxmlformats.org/officeDocument/2006/relationships/image" Target="media/image18.png"/><Relationship Id="rId209" Type="http://schemas.openxmlformats.org/officeDocument/2006/relationships/image" Target="media/image206.png"/><Relationship Id="rId208" Type="http://schemas.openxmlformats.org/officeDocument/2006/relationships/image" Target="media/image205.png"/><Relationship Id="rId207" Type="http://schemas.openxmlformats.org/officeDocument/2006/relationships/image" Target="media/image204.png"/><Relationship Id="rId206" Type="http://schemas.openxmlformats.org/officeDocument/2006/relationships/image" Target="media/image203.png"/><Relationship Id="rId205" Type="http://schemas.openxmlformats.org/officeDocument/2006/relationships/image" Target="media/image202.png"/><Relationship Id="rId204" Type="http://schemas.openxmlformats.org/officeDocument/2006/relationships/image" Target="media/image201.png"/><Relationship Id="rId203" Type="http://schemas.openxmlformats.org/officeDocument/2006/relationships/image" Target="media/image200.png"/><Relationship Id="rId202" Type="http://schemas.openxmlformats.org/officeDocument/2006/relationships/image" Target="media/image199.png"/><Relationship Id="rId201" Type="http://schemas.openxmlformats.org/officeDocument/2006/relationships/image" Target="media/image198.png"/><Relationship Id="rId200" Type="http://schemas.openxmlformats.org/officeDocument/2006/relationships/image" Target="media/image197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9" Type="http://schemas.openxmlformats.org/officeDocument/2006/relationships/image" Target="media/image196.png"/><Relationship Id="rId198" Type="http://schemas.openxmlformats.org/officeDocument/2006/relationships/image" Target="media/image195.png"/><Relationship Id="rId197" Type="http://schemas.openxmlformats.org/officeDocument/2006/relationships/image" Target="media/image194.png"/><Relationship Id="rId196" Type="http://schemas.openxmlformats.org/officeDocument/2006/relationships/image" Target="media/image193.png"/><Relationship Id="rId195" Type="http://schemas.openxmlformats.org/officeDocument/2006/relationships/image" Target="media/image192.png"/><Relationship Id="rId194" Type="http://schemas.openxmlformats.org/officeDocument/2006/relationships/image" Target="media/image191.png"/><Relationship Id="rId193" Type="http://schemas.openxmlformats.org/officeDocument/2006/relationships/image" Target="media/image190.png"/><Relationship Id="rId192" Type="http://schemas.openxmlformats.org/officeDocument/2006/relationships/image" Target="media/image189.png"/><Relationship Id="rId191" Type="http://schemas.openxmlformats.org/officeDocument/2006/relationships/image" Target="media/image188.png"/><Relationship Id="rId190" Type="http://schemas.openxmlformats.org/officeDocument/2006/relationships/image" Target="media/image187.png"/><Relationship Id="rId19" Type="http://schemas.openxmlformats.org/officeDocument/2006/relationships/image" Target="media/image16.png"/><Relationship Id="rId189" Type="http://schemas.openxmlformats.org/officeDocument/2006/relationships/image" Target="media/image186.png"/><Relationship Id="rId188" Type="http://schemas.openxmlformats.org/officeDocument/2006/relationships/image" Target="media/image185.png"/><Relationship Id="rId187" Type="http://schemas.openxmlformats.org/officeDocument/2006/relationships/image" Target="media/image184.png"/><Relationship Id="rId186" Type="http://schemas.openxmlformats.org/officeDocument/2006/relationships/image" Target="media/image183.png"/><Relationship Id="rId185" Type="http://schemas.openxmlformats.org/officeDocument/2006/relationships/image" Target="media/image182.png"/><Relationship Id="rId184" Type="http://schemas.openxmlformats.org/officeDocument/2006/relationships/image" Target="media/image181.png"/><Relationship Id="rId183" Type="http://schemas.openxmlformats.org/officeDocument/2006/relationships/image" Target="media/image180.png"/><Relationship Id="rId182" Type="http://schemas.openxmlformats.org/officeDocument/2006/relationships/image" Target="media/image179.png"/><Relationship Id="rId181" Type="http://schemas.openxmlformats.org/officeDocument/2006/relationships/image" Target="media/image178.png"/><Relationship Id="rId180" Type="http://schemas.openxmlformats.org/officeDocument/2006/relationships/image" Target="media/image177.png"/><Relationship Id="rId18" Type="http://schemas.openxmlformats.org/officeDocument/2006/relationships/image" Target="media/image15.png"/><Relationship Id="rId179" Type="http://schemas.openxmlformats.org/officeDocument/2006/relationships/image" Target="media/image176.png"/><Relationship Id="rId178" Type="http://schemas.openxmlformats.org/officeDocument/2006/relationships/image" Target="media/image175.png"/><Relationship Id="rId177" Type="http://schemas.openxmlformats.org/officeDocument/2006/relationships/image" Target="media/image174.png"/><Relationship Id="rId176" Type="http://schemas.openxmlformats.org/officeDocument/2006/relationships/image" Target="media/image173.png"/><Relationship Id="rId175" Type="http://schemas.openxmlformats.org/officeDocument/2006/relationships/image" Target="media/image172.png"/><Relationship Id="rId174" Type="http://schemas.openxmlformats.org/officeDocument/2006/relationships/image" Target="media/image171.png"/><Relationship Id="rId173" Type="http://schemas.openxmlformats.org/officeDocument/2006/relationships/image" Target="media/image170.png"/><Relationship Id="rId172" Type="http://schemas.openxmlformats.org/officeDocument/2006/relationships/image" Target="media/image169.png"/><Relationship Id="rId171" Type="http://schemas.openxmlformats.org/officeDocument/2006/relationships/image" Target="media/image168.png"/><Relationship Id="rId170" Type="http://schemas.openxmlformats.org/officeDocument/2006/relationships/image" Target="media/image167.png"/><Relationship Id="rId17" Type="http://schemas.openxmlformats.org/officeDocument/2006/relationships/image" Target="media/image14.png"/><Relationship Id="rId169" Type="http://schemas.openxmlformats.org/officeDocument/2006/relationships/image" Target="media/image166.png"/><Relationship Id="rId168" Type="http://schemas.openxmlformats.org/officeDocument/2006/relationships/image" Target="media/image165.png"/><Relationship Id="rId167" Type="http://schemas.openxmlformats.org/officeDocument/2006/relationships/image" Target="media/image164.png"/><Relationship Id="rId166" Type="http://schemas.openxmlformats.org/officeDocument/2006/relationships/image" Target="media/image163.png"/><Relationship Id="rId165" Type="http://schemas.openxmlformats.org/officeDocument/2006/relationships/image" Target="media/image162.png"/><Relationship Id="rId164" Type="http://schemas.openxmlformats.org/officeDocument/2006/relationships/image" Target="media/image161.png"/><Relationship Id="rId163" Type="http://schemas.openxmlformats.org/officeDocument/2006/relationships/image" Target="media/image160.png"/><Relationship Id="rId162" Type="http://schemas.openxmlformats.org/officeDocument/2006/relationships/image" Target="media/image159.png"/><Relationship Id="rId161" Type="http://schemas.openxmlformats.org/officeDocument/2006/relationships/image" Target="media/image158.png"/><Relationship Id="rId160" Type="http://schemas.openxmlformats.org/officeDocument/2006/relationships/image" Target="media/image157.png"/><Relationship Id="rId16" Type="http://schemas.openxmlformats.org/officeDocument/2006/relationships/image" Target="media/image13.png"/><Relationship Id="rId159" Type="http://schemas.openxmlformats.org/officeDocument/2006/relationships/image" Target="media/image156.png"/><Relationship Id="rId158" Type="http://schemas.openxmlformats.org/officeDocument/2006/relationships/image" Target="media/image155.png"/><Relationship Id="rId157" Type="http://schemas.openxmlformats.org/officeDocument/2006/relationships/image" Target="media/image154.png"/><Relationship Id="rId156" Type="http://schemas.openxmlformats.org/officeDocument/2006/relationships/image" Target="media/image153.png"/><Relationship Id="rId155" Type="http://schemas.openxmlformats.org/officeDocument/2006/relationships/image" Target="media/image152.png"/><Relationship Id="rId154" Type="http://schemas.openxmlformats.org/officeDocument/2006/relationships/image" Target="media/image151.png"/><Relationship Id="rId153" Type="http://schemas.openxmlformats.org/officeDocument/2006/relationships/image" Target="media/image150.png"/><Relationship Id="rId152" Type="http://schemas.openxmlformats.org/officeDocument/2006/relationships/image" Target="media/image149.png"/><Relationship Id="rId151" Type="http://schemas.openxmlformats.org/officeDocument/2006/relationships/image" Target="media/image148.png"/><Relationship Id="rId150" Type="http://schemas.openxmlformats.org/officeDocument/2006/relationships/image" Target="media/image147.png"/><Relationship Id="rId15" Type="http://schemas.openxmlformats.org/officeDocument/2006/relationships/image" Target="media/image12.png"/><Relationship Id="rId149" Type="http://schemas.openxmlformats.org/officeDocument/2006/relationships/image" Target="media/image146.png"/><Relationship Id="rId148" Type="http://schemas.openxmlformats.org/officeDocument/2006/relationships/image" Target="media/image145.png"/><Relationship Id="rId147" Type="http://schemas.openxmlformats.org/officeDocument/2006/relationships/image" Target="media/image144.png"/><Relationship Id="rId146" Type="http://schemas.openxmlformats.org/officeDocument/2006/relationships/image" Target="media/image143.png"/><Relationship Id="rId145" Type="http://schemas.openxmlformats.org/officeDocument/2006/relationships/image" Target="media/image142.png"/><Relationship Id="rId144" Type="http://schemas.openxmlformats.org/officeDocument/2006/relationships/image" Target="media/image141.png"/><Relationship Id="rId143" Type="http://schemas.openxmlformats.org/officeDocument/2006/relationships/image" Target="media/image140.png"/><Relationship Id="rId142" Type="http://schemas.openxmlformats.org/officeDocument/2006/relationships/image" Target="media/image139.png"/><Relationship Id="rId141" Type="http://schemas.openxmlformats.org/officeDocument/2006/relationships/image" Target="media/image138.png"/><Relationship Id="rId140" Type="http://schemas.openxmlformats.org/officeDocument/2006/relationships/image" Target="media/image137.png"/><Relationship Id="rId14" Type="http://schemas.openxmlformats.org/officeDocument/2006/relationships/image" Target="media/image11.png"/><Relationship Id="rId139" Type="http://schemas.openxmlformats.org/officeDocument/2006/relationships/image" Target="media/image136.png"/><Relationship Id="rId138" Type="http://schemas.openxmlformats.org/officeDocument/2006/relationships/image" Target="media/image135.png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法律合同10"/>
      <sectRole val="1"/>
    </customSectPr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Abu设计</Manager>
  <Company>Abu设计</Company>
  <Pages>1</Pages>
  <Words>21</Words>
  <Characters>21</Characters>
  <Lines>0</Lines>
  <Paragraphs>0</Paragraphs>
  <TotalTime>1467</TotalTime>
  <ScaleCrop>false</ScaleCrop>
  <LinksUpToDate>false</LinksUpToDate>
  <CharactersWithSpaces>21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信纸</cp:category>
  <dcterms:created xsi:type="dcterms:W3CDTF">2018-02-20T15:36:00Z</dcterms:created>
  <dc:creator>Abu设计</dc:creator>
  <dc:description>更多Abu设计的信纸请访问
http://chn.docer.com/works?userid=415014680
谢谢支持</dc:description>
  <cp:keywords>信纸 信笺背景</cp:keywords>
  <cp:lastModifiedBy>嘉铭 钦宇</cp:lastModifiedBy>
  <dcterms:modified xsi:type="dcterms:W3CDTF">2024-01-12T06:39:48Z</dcterms:modified>
  <dc:subject>信纸</dc:subject>
  <dc:title>信纸-Abu设计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F436C77747FD4698B2A4602E0CEABEA1_13</vt:lpwstr>
  </property>
</Properties>
</file>